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4356" w14:textId="008B20D7" w:rsidR="00C1171B" w:rsidRDefault="00C1171B" w:rsidP="00C1171B">
      <w:pPr>
        <w:rPr>
          <w:b/>
        </w:rPr>
      </w:pPr>
      <w:r>
        <w:rPr>
          <w:b/>
        </w:rPr>
        <w:t xml:space="preserve">Influence of isolated ectomycorrhizal trees and soil inoculation on the establishment and mycorrhizae of tree seedlings in </w:t>
      </w:r>
      <w:r w:rsidR="008D7B03">
        <w:rPr>
          <w:b/>
        </w:rPr>
        <w:t>post-agricultural</w:t>
      </w:r>
      <w:r>
        <w:rPr>
          <w:b/>
        </w:rPr>
        <w:t xml:space="preserve"> forests</w:t>
      </w:r>
    </w:p>
    <w:p w14:paraId="75701D3D" w14:textId="77777777" w:rsidR="00C1171B" w:rsidRPr="00F76204" w:rsidRDefault="00C1171B" w:rsidP="00F76204">
      <w:pPr>
        <w:spacing w:line="240" w:lineRule="auto"/>
        <w:rPr>
          <w:bCs/>
        </w:rPr>
      </w:pPr>
      <w:r w:rsidRPr="00F76204">
        <w:rPr>
          <w:bCs/>
        </w:rPr>
        <w:t>Andrew Cortese</w:t>
      </w:r>
    </w:p>
    <w:p w14:paraId="266C2443" w14:textId="70D45228" w:rsidR="00F76204" w:rsidRPr="00F76204" w:rsidRDefault="00F76204" w:rsidP="00F76204">
      <w:pPr>
        <w:spacing w:line="240" w:lineRule="auto"/>
        <w:rPr>
          <w:bCs/>
        </w:rPr>
      </w:pPr>
      <w:r w:rsidRPr="00F76204">
        <w:rPr>
          <w:bCs/>
        </w:rPr>
        <w:t>Department of Environmental Biology</w:t>
      </w:r>
    </w:p>
    <w:p w14:paraId="3105305A" w14:textId="5B675671" w:rsidR="00C1171B" w:rsidRPr="00F76204" w:rsidRDefault="00C1171B" w:rsidP="00F76204">
      <w:pPr>
        <w:spacing w:line="240" w:lineRule="auto"/>
        <w:rPr>
          <w:bCs/>
        </w:rPr>
      </w:pPr>
      <w:r w:rsidRPr="00F76204">
        <w:rPr>
          <w:bCs/>
        </w:rPr>
        <w:t>SUNY College of Environmental Science and Forestry, Syracuse, NY</w:t>
      </w:r>
    </w:p>
    <w:p w14:paraId="1B0F3D4D" w14:textId="3E914C41" w:rsidR="00C1171B" w:rsidRDefault="00C1171B" w:rsidP="00C1171B">
      <w:pPr>
        <w:rPr>
          <w:b/>
        </w:rPr>
      </w:pPr>
    </w:p>
    <w:p w14:paraId="7B7449E6" w14:textId="25BB3C91" w:rsidR="00C1171B" w:rsidRPr="00D60505" w:rsidRDefault="00C1171B" w:rsidP="00C1171B">
      <w:pPr>
        <w:rPr>
          <w:b/>
        </w:rPr>
      </w:pPr>
      <w:r w:rsidRPr="00D60505">
        <w:rPr>
          <w:b/>
        </w:rPr>
        <w:t>INTRODUCTION</w:t>
      </w:r>
    </w:p>
    <w:p w14:paraId="37440407" w14:textId="77777777" w:rsidR="00C1171B" w:rsidRDefault="00C1171B" w:rsidP="00C1171B">
      <w:pPr>
        <w:spacing w:line="252" w:lineRule="auto"/>
      </w:pPr>
      <w:r>
        <w:t>Much of the current forest cover in the Northeastern United States has regenerated from abandoned farmland. By the turn of the 20</w:t>
      </w:r>
      <w:r w:rsidRPr="0076318C">
        <w:rPr>
          <w:vertAlign w:val="superscript"/>
        </w:rPr>
        <w:t>th</w:t>
      </w:r>
      <w:r>
        <w:t xml:space="preserve"> century it is estimated that about half of the original forest cover in the Northeast was converted to agricultural land </w:t>
      </w:r>
      <w:r>
        <w:fldChar w:fldCharType="begin"/>
      </w:r>
      <w:r>
        <w:instrText xml:space="preserve"> ADDIN ZOTERO_ITEM CSL_CITATION {"citationID":"wswBBcgz","properties":{"formattedCitation":"(Irland, 1999)","plainCitation":"(Irland, 1999)","noteIndex":0},"citationItems":[{"id":363,"uris":["http://zotero.org/users/local/Uwl7j5fD/items/IDXRRMTT"],"uri":["http://zotero.org/users/local/Uwl7j5fD/items/IDXRRMTT"],"itemData":{"id":363,"type":"book","ISBN":"978-0-674-62680-5","language":"English","publisher":"Distributed by Harvard University Press for Harvard Forest","source":"agris.fao.org","title":"Northeast's changing forests","URL":"http://agris.fao.org/agris-search/search.do?recordID=US201300040052","author":[{"family":"Irland","given":"Lloyd C."}],"accessed":{"date-parts":[["2019",3,22]]},"issued":{"date-parts":[["1999"]]}}}],"schema":"https://github.com/citation-style-language/schema/raw/master/csl-citation.json"} </w:instrText>
      </w:r>
      <w:r>
        <w:fldChar w:fldCharType="separate"/>
      </w:r>
      <w:r w:rsidRPr="0060432E">
        <w:rPr>
          <w:rFonts w:cs="Times New Roman"/>
        </w:rPr>
        <w:t>(</w:t>
      </w:r>
      <w:proofErr w:type="spellStart"/>
      <w:r w:rsidRPr="0060432E">
        <w:rPr>
          <w:rFonts w:cs="Times New Roman"/>
        </w:rPr>
        <w:t>Irland</w:t>
      </w:r>
      <w:proofErr w:type="spellEnd"/>
      <w:r w:rsidRPr="0060432E">
        <w:rPr>
          <w:rFonts w:cs="Times New Roman"/>
        </w:rPr>
        <w:t>, 1999)</w:t>
      </w:r>
      <w:r>
        <w:fldChar w:fldCharType="end"/>
      </w:r>
      <w:r>
        <w:t xml:space="preserve">. During the Great Depression, many farms were left abandoned and secondary forests grew on the fallow land </w:t>
      </w:r>
      <w:r>
        <w:fldChar w:fldCharType="begin"/>
      </w:r>
      <w:r>
        <w:instrText xml:space="preserve"> ADDIN ZOTERO_ITEM CSL_CITATION {"citationID":"kR6mQ9Cg","properties":{"formattedCitation":"(Foster, 2002)","plainCitation":"(Foster, 2002)","noteIndex":0},"citationItems":[{"id":373,"uris":["http://zotero.org/users/local/Uwl7j5fD/items/RI8PAVA3"],"uri":["http://zotero.org/users/local/Uwl7j5fD/items/RI8PAVA3"],"itemData":{"id":373,"type":"article-journal","abstract":"Our wood-lots, of course, have a history, and we may often recover it for a hundred years back, though we do not...Yet if we attended more to the history of our lots we should manage them more wisely. H.D. Thoreau. 16 October 1860.","container-title":"Journal of Biogeography","DOI":"10.1046/j.1365-2699.2002.00786.x","ISSN":"0305-0270, 1365-2699","issue":"10-11","language":"en","page":"1537-1555","source":"Crossref","title":"Thoreau's country: a historical-ecological perspective on conservation in the New England landscape","title-short":"Thoreau's country","volume":"29","author":[{"family":"Foster","given":"David R."}],"issued":{"date-parts":[["2002",10]]}}}],"schema":"https://github.com/citation-style-language/schema/raw/master/csl-citation.json"} </w:instrText>
      </w:r>
      <w:r>
        <w:fldChar w:fldCharType="separate"/>
      </w:r>
      <w:r w:rsidRPr="0060432E">
        <w:rPr>
          <w:rFonts w:cs="Times New Roman"/>
        </w:rPr>
        <w:t>(Foster, 2002)</w:t>
      </w:r>
      <w:r>
        <w:fldChar w:fldCharType="end"/>
      </w:r>
      <w:r>
        <w:t xml:space="preserve">. Following disturbance, plant communities transition from early colonizing to late successional stages </w:t>
      </w:r>
      <w:r>
        <w:fldChar w:fldCharType="begin"/>
      </w:r>
      <w:r>
        <w:instrText xml:space="preserve"> ADDIN ZOTERO_ITEM CSL_CITATION {"citationID":"IGd5cUDb","properties":{"formattedCitation":"(Chapin {\\i{}et al.}, 2002)","plainCitation":"(Chapin et al., 2002)","noteIndex":0},"citationItems":[{"id":406,"uris":["http://zotero.org/users/local/Uwl7j5fD/items/E9NYFKNZ"],"uri":["http://zotero.org/users/local/Uwl7j5fD/items/E9NYFKNZ"],"itemData":{"id":406,"type":"book","publisher":"Springer","title":"Principles of Terrestrial Ecosystem Ecology","URL":"http://kt.ijs.si/markodebeljak/Lectures/ARHIV/Nancy/nancy_DEC_2009/Readings/Ecosystem_ecology.pdf","author":[{"family":"Chapin","given":"F. Stuart"},{"family":"Matson","given":"Pamela"},{"family":"Mooney","given":"H. A."}],"accessed":{"date-parts":[["2019",3,31]]},"issued":{"date-parts":[["2002"]]}}}],"schema":"https://github.com/citation-style-language/schema/raw/master/csl-citation.json"} </w:instrText>
      </w:r>
      <w:r>
        <w:fldChar w:fldCharType="separate"/>
      </w:r>
      <w:r w:rsidRPr="00FE1702">
        <w:rPr>
          <w:rFonts w:cs="Times New Roman"/>
          <w:szCs w:val="24"/>
        </w:rPr>
        <w:t xml:space="preserve">(Chapin </w:t>
      </w:r>
      <w:r w:rsidRPr="00FE1702">
        <w:rPr>
          <w:rFonts w:cs="Times New Roman"/>
          <w:i/>
          <w:iCs/>
          <w:szCs w:val="24"/>
        </w:rPr>
        <w:t>et al.</w:t>
      </w:r>
      <w:r w:rsidRPr="00FE1702">
        <w:rPr>
          <w:rFonts w:cs="Times New Roman"/>
          <w:szCs w:val="24"/>
        </w:rPr>
        <w:t>, 2002)</w:t>
      </w:r>
      <w:r>
        <w:fldChar w:fldCharType="end"/>
      </w:r>
      <w:r>
        <w:t xml:space="preserve">. Windthrow is the most common natural disturbance in the Northeastern United States </w:t>
      </w:r>
      <w:r>
        <w:fldChar w:fldCharType="begin"/>
      </w:r>
      <w:r>
        <w:instrText xml:space="preserve"> ADDIN ZOTERO_ITEM CSL_CITATION {"citationID":"zxQITACX","properties":{"formattedCitation":"(Bormann &amp; Likens, 1979)","plainCitation":"(Bormann &amp; Likens, 1979)","noteIndex":0},"citationItems":[{"id":415,"uris":["http://zotero.org/users/local/Uwl7j5fD/items/YZASIM6V"],"uri":["http://zotero.org/users/local/Uwl7j5fD/items/YZASIM6V"],"itemData":{"id":415,"type":"article-journal","archive":"JSTOR","container-title":"American Scientist","ISSN":"0003-0996","issue":"6","page":"660-669","source":"JSTOR","title":"Catastrophic Disturbance and the Steady State in Northern Hardwood Forests: A new look at the role of disturbance in the development of forest ecosystems suggests important implications for land-use policies","title-short":"Catastrophic Disturbance and the Steady State in Northern Hardwood Forests","volume":"67","author":[{"family":"Bormann","given":"F. Herbert"},{"family":"Likens","given":"Gene E."}],"issued":{"date-parts":[["1979"]]}}}],"schema":"https://github.com/citation-style-language/schema/raw/master/csl-citation.json"} </w:instrText>
      </w:r>
      <w:r>
        <w:fldChar w:fldCharType="separate"/>
      </w:r>
      <w:r w:rsidRPr="00FD557E">
        <w:rPr>
          <w:rFonts w:cs="Times New Roman"/>
        </w:rPr>
        <w:t>(Bormann &amp; Likens, 1979)</w:t>
      </w:r>
      <w:r>
        <w:fldChar w:fldCharType="end"/>
      </w:r>
      <w:r>
        <w:t xml:space="preserve">, but conversion of land to agriculture is a much more pervasive and intense disturbance; the systematic clearing and plowing of land removes biological legacies that influence reorganization of plant communities </w:t>
      </w:r>
      <w:r>
        <w:fldChar w:fldCharType="begin"/>
      </w:r>
      <w:r>
        <w:instrText xml:space="preserve"> ADDIN ZOTERO_ITEM CSL_CITATION {"citationID":"6kUOZ3Il","properties":{"formattedCitation":"(Flinn &amp; Vellend, 2005)","plainCitation":"(Flinn &amp; Vellend, 2005)","noteIndex":0},"citationItems":[{"id":339,"uris":["http://zotero.org/users/local/Uwl7j5fD/items/QFA5M8TT"],"uri":["http://zotero.org/users/local/Uwl7j5fD/items/QFA5M8TT"],"itemData":{"id":339,"type":"article-journal","abstract":"As landscapes throughout Europe and eastern North America recover from past agricultural use, forests continue to reflect their agricultural history. For centuries after agriculture has ceased, plant communities on abandoned agricultural lands remain impoverished in herbaceous species characteristic of uncleared forests. To facilitate the recovery of biological diversity in these forests, and to anticipate the effects of future land-use decisions, we need to understand the process of recolonization. The unique interactions between forest herbs and agricultural history also allow us to explore some universal questions in ecology, such as how dispersal and environment limit species distributions.","container-title":"Frontiers in Ecology and the Environment","DOI":"10.1890/1540-9295(2005)003[0243:ROFPCI]2.0.CO;2","ISSN":"1540-9309","issue":"5","language":"en","page":"243-250","source":"Wiley Online Library","title":"Recovery of forest plant communities in post-agricultural landscapes","volume":"3","author":[{"family":"Flinn","given":"Kathryn M."},{"family":"Vellend","given":"Mark"}],"issued":{"date-parts":[["2005"]]}}}],"schema":"https://github.com/citation-style-language/schema/raw/master/csl-citation.json"} </w:instrText>
      </w:r>
      <w:r>
        <w:fldChar w:fldCharType="separate"/>
      </w:r>
      <w:r w:rsidRPr="00E90FF5">
        <w:rPr>
          <w:rFonts w:cs="Times New Roman"/>
        </w:rPr>
        <w:t xml:space="preserve">(Flinn &amp; </w:t>
      </w:r>
      <w:proofErr w:type="spellStart"/>
      <w:r w:rsidRPr="00E90FF5">
        <w:rPr>
          <w:rFonts w:cs="Times New Roman"/>
        </w:rPr>
        <w:t>Vellend</w:t>
      </w:r>
      <w:proofErr w:type="spellEnd"/>
      <w:r w:rsidRPr="00E90FF5">
        <w:rPr>
          <w:rFonts w:cs="Times New Roman"/>
        </w:rPr>
        <w:t>, 2005)</w:t>
      </w:r>
      <w:r>
        <w:fldChar w:fldCharType="end"/>
      </w:r>
      <w:r>
        <w:t xml:space="preserve"> and prevent a return to the pre-disturbance state </w:t>
      </w:r>
      <w:r>
        <w:fldChar w:fldCharType="begin"/>
      </w:r>
      <w:r>
        <w:instrText xml:space="preserve"> ADDIN ZOTERO_ITEM CSL_CITATION {"citationID":"iJsPsadB","properties":{"formattedCitation":"(Bengtsson {\\i{}et al.}, 2003; Schaefer, 2009)","plainCitation":"(Bengtsson et al., 2003; Schaefer, 2009)","noteIndex":0},"citationItems":[{"id":412,"uris":["http://zotero.org/users/local/Uwl7j5fD/items/CENRJV9W"],"uri":["http://zotero.org/users/local/Uwl7j5fD/items/CENRJV9W"],"itemData":{"id":412,"type":"article-journal","abstract":"[In a world increasingly modified by human activities, the conservation of biodiversity is essential as insurance to maintain resilient ecosystems and ensure a sustainable flow of ecosystem goods and services to society. However, existing reserves and national parks are unlikely to incorporate the long-term and large-scale dynamics of ecosystems. Hence, conservation strategies have to actively incorporate the large areas of land that are managed for human use. For ecosystems to reorganize after large-scale natural and human-induced disturbances, spatial resilience in the form of ecological memory is a prerequisite. The ecological memory is composed of the species, interactions and structures that make ecosystem reorganization possible, and its components may be found within disturbed patches as well in the surrounding landscape. Present static reserves should be complemented with dynamic reserves, such as ecological fallows and dynamic successional reserves, that are part of ecosystem management mimicking natural disturbance regimes at the landscape level.]","archive":"JSTOR","container-title":"Ambio","ISSN":"0044-7447","issue":"6","page":"389-396","source":"JSTOR","title":"Reserves, Resilience and Dynamic Landscapes","volume":"32","author":[{"family":"Bengtsson","given":"Janne"},{"family":"Angelstam","given":"Per"},{"family":"Elmqvist","given":"Thomas"},{"family":"Emanuelsson","given":"Urban"},{"family":"Folke","given":"Carl"},{"family":"Ihse","given":"Margareta"},{"family":"Moberg","given":"Fredrik"},{"family":"Nyström","given":"Magnus"}],"issued":{"date-parts":[["2003"]]}}},{"id":404,"uris":["http://zotero.org/users/local/Uwl7j5fD/items/R457LYZX"],"uri":["http://zotero.org/users/local/Uwl7j5fD/items/R457LYZX"],"itemData":{"id":404,"type":"article-journal","abstract":"After a community or ecosystem is lost, it may leave behind an ecological memory. The site history, soil properties, spores, seeds, stem fragments, mycorrhizae, species, populations, and other remnants may inﬂuence the composition of the replacement community or ecosystem to varying degrees. The remnants may also hold the site to a trajectory that has implications for ecological restoration. This is true in urban situations in particular where repeated disturbance has masked the history of the site. The ecological memory remaining may be insufﬁcient for a site to heal itself; restoration activities are required to direct the future of the site. Conversely, in light of climate change and other rapidly changing environments, the existing ecological memory may be poorly suited to the new conditions and restoration projects need to create new and perhaps novel ecosystems. The loss of ecological memory facilitates the establishment of foreign invasive species. These invasives may eventually create a new stability domain with its own ecological memory and degree of resilience. To be successful, invasive species control must address both internal within patch memory of invasives and external between patch memory. Further research is necessary to document and conserve ecological memory for ecological restoration in response to future ecosystem changes.","container-title":"Restoration Ecology","DOI":"10.1111/j.1526-100X.2008.00513.x","ISSN":"10612971, 1526100X","issue":"2","language":"en","page":"171-176","source":"Crossref","title":"Alien Invasions, Ecological Restoration in Cities and the Loss of Ecological Memory","volume":"17","author":[{"family":"Schaefer","given":"Valentin"}],"issued":{"date-parts":[["2009",3]]}}}],"schema":"https://github.com/citation-style-language/schema/raw/master/csl-citation.json"} </w:instrText>
      </w:r>
      <w:r>
        <w:fldChar w:fldCharType="separate"/>
      </w:r>
      <w:r w:rsidRPr="00FE1702">
        <w:rPr>
          <w:rFonts w:cs="Times New Roman"/>
          <w:szCs w:val="24"/>
        </w:rPr>
        <w:t xml:space="preserve">(Bengtsson </w:t>
      </w:r>
      <w:r w:rsidRPr="00FE1702">
        <w:rPr>
          <w:rFonts w:cs="Times New Roman"/>
          <w:i/>
          <w:iCs/>
          <w:szCs w:val="24"/>
        </w:rPr>
        <w:t>et al.</w:t>
      </w:r>
      <w:r w:rsidRPr="00FE1702">
        <w:rPr>
          <w:rFonts w:cs="Times New Roman"/>
          <w:szCs w:val="24"/>
        </w:rPr>
        <w:t>, 2003; Schaefer, 2009)</w:t>
      </w:r>
      <w:r>
        <w:fldChar w:fldCharType="end"/>
      </w:r>
      <w:r>
        <w:t xml:space="preserve">. </w:t>
      </w:r>
      <w:r w:rsidRPr="00AB04D5">
        <w:t xml:space="preserve">These post-agricultural forests do not resemble the pre-settlement forests; they exhibit persistent legacies and are often comprised of even-aged stands dominated by successional tree species like </w:t>
      </w:r>
      <w:r w:rsidRPr="00AB04D5">
        <w:rPr>
          <w:i/>
        </w:rPr>
        <w:t xml:space="preserve">Acer rubrum, Fraxinus americana, </w:t>
      </w:r>
      <w:r w:rsidRPr="00AB04D5">
        <w:t xml:space="preserve">and </w:t>
      </w:r>
      <w:r w:rsidRPr="00AB04D5">
        <w:rPr>
          <w:i/>
        </w:rPr>
        <w:t xml:space="preserve">Prunus </w:t>
      </w:r>
      <w:r>
        <w:t>spp.</w:t>
      </w:r>
      <w:r w:rsidRPr="00AB04D5">
        <w:t xml:space="preserve"> </w:t>
      </w:r>
      <w:r w:rsidRPr="00AB04D5">
        <w:fldChar w:fldCharType="begin"/>
      </w:r>
      <w:r w:rsidRPr="00AB04D5">
        <w:instrText xml:space="preserve"> ADDIN ZOTERO_ITEM CSL_CITATION {"citationID":"RrHFj2Ng","properties":{"formattedCitation":"(Foster {\\i{}et al.}, 2003)","plainCitation":"(Foster et al., 2003)","noteIndex":0},"citationItems":[{"id":367,"uris":["http://zotero.org/users/local/Uwl7j5fD/items/DDA7DYGJ"],"uri":["http://zotero.org/users/local/Uwl7j5fD/items/DDA7DYGJ"],"itemData":{"id":367,"type":"article-journal","abstract":"Abstract.  Recognition of the importance of land-use history and its legacies in most ecological systems has been a major factor driving the recent focus on hum","container-title":"BioScience","DOI":"10.1641/0006-3568(2003)053[0077:TIOLUL]2.0.CO;2","ISSN":"0006-3568","issue":"1","journalAbbreviation":"BioScience","language":"en","page":"77-88","source":"academic.oup.com","title":"The Importance of Land-Use Legacies to Ecology and Conservation","volume":"53","author":[{"family":"Foster","given":"David"},{"family":"Swanson","given":"Frederick"},{"family":"Aber","given":"John"},{"family":"Burke","given":"Ingrid"},{"family":"Brokaw","given":"Nicholas"},{"family":"Tilman","given":"David"},{"family":"Knapp","given":"Alan"}],"issued":{"date-parts":[["2003",1,1]]}}}],"schema":"https://github.com/citation-style-language/schema/raw/master/csl-citation.json"} </w:instrText>
      </w:r>
      <w:r w:rsidRPr="00AB04D5">
        <w:fldChar w:fldCharType="separate"/>
      </w:r>
      <w:r w:rsidRPr="00AB04D5">
        <w:rPr>
          <w:rFonts w:cs="Times New Roman"/>
          <w:szCs w:val="24"/>
        </w:rPr>
        <w:t xml:space="preserve">(Foster </w:t>
      </w:r>
      <w:r w:rsidRPr="00AB04D5">
        <w:rPr>
          <w:rFonts w:cs="Times New Roman"/>
          <w:i/>
          <w:iCs/>
          <w:szCs w:val="24"/>
        </w:rPr>
        <w:t>et al.</w:t>
      </w:r>
      <w:r w:rsidRPr="00AB04D5">
        <w:rPr>
          <w:rFonts w:cs="Times New Roman"/>
          <w:szCs w:val="24"/>
        </w:rPr>
        <w:t>, 2003)</w:t>
      </w:r>
      <w:r w:rsidRPr="00AB04D5">
        <w:fldChar w:fldCharType="end"/>
      </w:r>
      <w:r>
        <w:t xml:space="preserve">. Residual forests that were never cleared for agriculture often feature multiple age classes of trees </w:t>
      </w:r>
      <w:r>
        <w:fldChar w:fldCharType="begin"/>
      </w:r>
      <w:r>
        <w:instrText xml:space="preserve"> ADDIN ZOTERO_ITEM CSL_CITATION {"citationID":"YDM7ksTe","properties":{"formattedCitation":"(Foster {\\i{}et al.}, 1998)","plainCitation":"(Foster et al., 1998)","noteIndex":0},"citationItems":[{"id":371,"uris":["http://zotero.org/users/local/Uwl7j5fD/items/REFGPN59"],"uri":["http://zotero.org/users/local/Uwl7j5fD/items/REFGPN59"],"itemData":{"id":371,"type":"article-journal","container-title":"Ecosystems","issue":"1","language":"en","page":"96-119","source":"Zotero","title":"Land-Use History as Long-Term Broad-Scale Disturbance: Regional Forest Dynamics in Central New England","volume":"1","author":[{"family":"Foster","given":"David R."},{"family":"Motzkin","given":"Glenn"},{"family":"work(s):","given":"Benjamin Slater Reviewed"}],"issued":{"date-parts":[["1998"]]}}}],"schema":"https://github.com/citation-style-language/schema/raw/master/csl-citation.json"} </w:instrText>
      </w:r>
      <w:r>
        <w:fldChar w:fldCharType="separate"/>
      </w:r>
      <w:r w:rsidRPr="0085563F">
        <w:rPr>
          <w:rFonts w:cs="Times New Roman"/>
          <w:szCs w:val="24"/>
        </w:rPr>
        <w:t xml:space="preserve">(Foster </w:t>
      </w:r>
      <w:r w:rsidRPr="0085563F">
        <w:rPr>
          <w:rFonts w:cs="Times New Roman"/>
          <w:i/>
          <w:iCs/>
          <w:szCs w:val="24"/>
        </w:rPr>
        <w:t>et al.</w:t>
      </w:r>
      <w:r w:rsidRPr="0085563F">
        <w:rPr>
          <w:rFonts w:cs="Times New Roman"/>
          <w:szCs w:val="24"/>
        </w:rPr>
        <w:t>, 1998)</w:t>
      </w:r>
      <w:r>
        <w:fldChar w:fldCharType="end"/>
      </w:r>
      <w:r>
        <w:t xml:space="preserve">. These forests, which occupy much less of the landscape than post-agricultural forests, are often dominated by late successional species such as </w:t>
      </w:r>
      <w:r>
        <w:rPr>
          <w:i/>
        </w:rPr>
        <w:t xml:space="preserve">Tsuga canadensis </w:t>
      </w:r>
      <w:r>
        <w:t xml:space="preserve">and </w:t>
      </w:r>
      <w:r>
        <w:rPr>
          <w:i/>
        </w:rPr>
        <w:t xml:space="preserve">Fagus </w:t>
      </w:r>
      <w:proofErr w:type="spellStart"/>
      <w:r>
        <w:rPr>
          <w:i/>
        </w:rPr>
        <w:t>grandifolia</w:t>
      </w:r>
      <w:proofErr w:type="spellEnd"/>
      <w:r>
        <w:t xml:space="preserve"> </w:t>
      </w:r>
      <w:r>
        <w:fldChar w:fldCharType="begin"/>
      </w:r>
      <w:r>
        <w:instrText xml:space="preserve"> ADDIN ZOTERO_ITEM CSL_CITATION {"citationID":"enmxNCBM","properties":{"formattedCitation":"(Thompson {\\i{}et al.}, 2013)","plainCitation":"(Thompson et al., 2013)","noteIndex":0},"citationItems":[{"id":293,"uris":["http://zotero.org/users/local/Uwl7j5fD/items/VIPJDYC2"],"uri":["http://zotero.org/users/local/Uwl7j5fD/items/VIPJDYC2"],"itemData":{"id":293,"type":"article-journal","abstract":"The northeastern United States is a predominately-forested region that, like most of the eastern U.S., has undergone a 400-year history of intense logging, land clearance for agriculture, and natural reforestation. This setting affords the opportunity to address a major ecological question: How similar are today's forests to those existing prior to European colonization? Working throughout a nine-state region spanning Maine to Pennsylvania, we assembled a comprehensive database of archival land-survey records describing the forests at the time of European colonization. We compared these records to modern forest inventory data and described: (1) the magnitude and attributes of forest compositional change, (2) the geography of change, and (3) the relationships between change and environmental factors and historical land use. We found that with few exceptions, notably the American chestnut, the same taxa that made up the pre-colonial forest still comprise the forest today, despite ample opportunities for species invasion and loss. Nonetheless, there have been dramatic shifts in the relative abundance of forest taxa. The magnitude of change is spatially clustered at local scales (&lt;125 km) but exhibits little evidence of regional-scale gradients. Compositional change is most strongly associated with the historical extent of agricultural clearing. Throughout the region, there has been a broad ecological shift away from late successional taxa, such as beech and hemlock, in favor of early- and mid-successional taxa, such as red maple and poplar. Additionally, the modern forest composition is more homogeneous and less coupled to local climatic controls.","container-title":"PLOS ONE","DOI":"10.1371/journal.pone.0072540","ISSN":"1932-6203","issue":"9","journalAbbreviation":"PLOS ONE","language":"en","page":"e72540","source":"PLoS Journals","title":"Four Centuries of Change in Northeastern United States Forests","volume":"8","author":[{"family":"Thompson","given":"Jonathan R."},{"family":"Carpenter","given":"Dunbar N."},{"family":"Cogbill","given":"Charles V."},{"family":"Foster","given":"David R."}],"issued":{"date-parts":[["2013",9,4]]}}}],"schema":"https://github.com/citation-style-language/schema/raw/master/csl-citation.json"} </w:instrText>
      </w:r>
      <w:r>
        <w:fldChar w:fldCharType="separate"/>
      </w:r>
      <w:r w:rsidRPr="00904FEA">
        <w:rPr>
          <w:rFonts w:cs="Times New Roman"/>
          <w:szCs w:val="24"/>
        </w:rPr>
        <w:t xml:space="preserve">(Thompson </w:t>
      </w:r>
      <w:r w:rsidRPr="00904FEA">
        <w:rPr>
          <w:rFonts w:cs="Times New Roman"/>
          <w:i/>
          <w:iCs/>
          <w:szCs w:val="24"/>
        </w:rPr>
        <w:t>et al.</w:t>
      </w:r>
      <w:r w:rsidRPr="00904FEA">
        <w:rPr>
          <w:rFonts w:cs="Times New Roman"/>
          <w:szCs w:val="24"/>
        </w:rPr>
        <w:t>, 2013)</w:t>
      </w:r>
      <w:r>
        <w:fldChar w:fldCharType="end"/>
      </w:r>
      <w:r>
        <w:t xml:space="preserve"> and provide important wildlife habitat </w:t>
      </w:r>
      <w:r>
        <w:fldChar w:fldCharType="begin"/>
      </w:r>
      <w:r>
        <w:instrText xml:space="preserve"> ADDIN ZOTERO_ITEM CSL_CITATION {"citationID":"xFhbJpNi","properties":{"formattedCitation":"(Yamasaki {\\i{}et al.}, 2000)","plainCitation":"(Yamasaki et al., 2000)","noteIndex":0},"citationItems":[{"id":63,"uris":["http://zotero.org/users/local/Uwl7j5fD/items/6AP7CD3S"],"uri":["http://zotero.org/users/local/Uwl7j5fD/items/6AP7CD3S"],"itemData":{"id":63,"type":"article-journal","abstract":"Hemlock seems to be an important component of the habitat requirements of a number of avian and mammalian species. As we have seen from the many adelgid-related presentations in this symposium, concerns over the future of eastern hemlock habitat in New England pose many more questions on the potential effects to a broader range of wildlife species than just for white-tailed deer. A disruption of the patterns of hemlock cover through the region could have some significant effects on future species occurrence and distribution patterns.","container-title":"Proceedings: Symposium on Sustainable Management of Hemlock Ecosystems in Eastern North America","issue":"9","language":"en","page":"135-143","source":"Zotero","title":"Wildlife Habitat Associations in Eastern Hemlock — Birds, Smaller Mammals, and Forest Carnivores","author":[{"family":"Yamasaki","given":"Mariko"},{"family":"DeGraaf","given":"Richard M"},{"family":"Lanier","given":"John W"}],"issued":{"date-parts":[["2000"]]}}}],"schema":"https://github.com/citation-style-language/schema/raw/master/csl-citation.json"} </w:instrText>
      </w:r>
      <w:r>
        <w:fldChar w:fldCharType="separate"/>
      </w:r>
      <w:r w:rsidRPr="003D0651">
        <w:rPr>
          <w:rFonts w:cs="Times New Roman"/>
          <w:szCs w:val="24"/>
        </w:rPr>
        <w:t xml:space="preserve">(Yamasaki </w:t>
      </w:r>
      <w:r w:rsidRPr="003D0651">
        <w:rPr>
          <w:rFonts w:cs="Times New Roman"/>
          <w:i/>
          <w:iCs/>
          <w:szCs w:val="24"/>
        </w:rPr>
        <w:t>et al.</w:t>
      </w:r>
      <w:r w:rsidRPr="003D0651">
        <w:rPr>
          <w:rFonts w:cs="Times New Roman"/>
          <w:szCs w:val="24"/>
        </w:rPr>
        <w:t>, 2000)</w:t>
      </w:r>
      <w:r>
        <w:fldChar w:fldCharType="end"/>
      </w:r>
      <w:r>
        <w:t xml:space="preserve">. </w:t>
      </w:r>
    </w:p>
    <w:p w14:paraId="475B439B" w14:textId="77777777" w:rsidR="00C1171B" w:rsidRDefault="00C1171B" w:rsidP="00C1171B">
      <w:pPr>
        <w:spacing w:line="252" w:lineRule="auto"/>
      </w:pPr>
      <w:r>
        <w:t xml:space="preserve">A mycorrhiza is the symbiotic relationship between plant roots and fungi, in which a plant transfers a portion of their photosynthetic product to the fungus, which provides increased water and nutrient uptake abilities to the plant </w:t>
      </w:r>
      <w:r>
        <w:fldChar w:fldCharType="begin"/>
      </w:r>
      <w:r>
        <w:instrText xml:space="preserve"> ADDIN ZOTERO_ITEM CSL_CITATION {"citationID":"aQFBMarE","properties":{"formattedCitation":"(Smith &amp; Read, 2010)","plainCitation":"(Smith &amp; Read, 2010)","noteIndex":0},"citationItems":[{"id":144,"uris":["http://zotero.org/users/local/Uwl7j5fD/items/TVGF9BSN"],"uri":["http://zotero.org/users/local/Uwl7j5fD/items/TVGF9BSN"],"itemData":{"id":144,"type":"book","abstract":"The roots of most plants are colonized by symbiotic fungi to form mycorrhiza, which play a critical role in the capture of nutrients from the soil and therefore in plant nutrition. Mycorrhizal Symbiosis is recognized as the definitive work in this area. Since the last edition was published there have been major advances in the field, particularly in the area of molecular biology, and the new edition has been fully revised and updated to incorporate these exciting new developments.Over 50% new materialIncludes expanded color plate sectionCovers all aspects of mycorrhizaPresents new taxonomyDiscusses the impact of proteomics and genomics on research in this area","ISBN":"978-0-08-055934-6","language":"en","note":"Google-Books-ID: qLciOJaG0C4C","number-of-pages":"815","publisher":"Academic Press","source":"Google Books","title":"Mycorrhizal Symbiosis","author":[{"family":"Smith","given":"Sally E."},{"family":"Read","given":"David J."}],"issued":{"date-parts":[["2010",7,26]]}}}],"schema":"https://github.com/citation-style-language/schema/raw/master/csl-citation.json"} </w:instrText>
      </w:r>
      <w:r>
        <w:fldChar w:fldCharType="separate"/>
      </w:r>
      <w:r w:rsidRPr="007428B3">
        <w:rPr>
          <w:rFonts w:cs="Times New Roman"/>
        </w:rPr>
        <w:t>(Smith &amp; Read, 2010)</w:t>
      </w:r>
      <w:r>
        <w:fldChar w:fldCharType="end"/>
      </w:r>
      <w:r>
        <w:t xml:space="preserve">. Most land plants, including the tree genera </w:t>
      </w:r>
      <w:r>
        <w:rPr>
          <w:i/>
        </w:rPr>
        <w:t xml:space="preserve">Acer, Prunus, </w:t>
      </w:r>
      <w:r>
        <w:t xml:space="preserve">and </w:t>
      </w:r>
      <w:r>
        <w:rPr>
          <w:i/>
        </w:rPr>
        <w:t>Fraxinus</w:t>
      </w:r>
      <w:r>
        <w:t xml:space="preserve"> form arbuscular mycorrhizae (AM). Since AM fungi generally do not exhibit strong host specificity and are present even in highly disturbed systems, AM trees are often not limited by the availability of suitable AM fungi </w:t>
      </w:r>
      <w:r>
        <w:fldChar w:fldCharType="begin"/>
      </w:r>
      <w:r>
        <w:instrText xml:space="preserve"> ADDIN ZOTERO_ITEM CSL_CITATION {"citationID":"Nv8gE0rO","properties":{"formattedCitation":"(Klironomos, 2000; Cortese &amp; Bunn, 2017)","plainCitation":"(Klironomos, 2000; Cortese &amp; Bunn, 2017)","noteIndex":0},"citationItems":[{"id":472,"uris":["http://zotero.org/users/local/Uwl7j5fD/items/BQH4J4GW"],"uri":["http://zotero.org/users/local/Uwl7j5fD/items/BQH4J4GW"],"itemData":{"id":472,"type":"article-journal","container-title":"In: Microbial Biosystems: New Frontiers. Proceedings of the 8th International Symposium of Microbial Ecology (eds Bell, C.R., Brylinski, M. &amp; Johnson-Green, P.). Atlantic Canada Society for Microbial Ecology, Halifax","page":"845-851","title":"Host-specificity and functional diversity among arbuscular mycorrhizal fungi","author":[{"family":"Klironomos","given":"John"}],"issued":{"date-parts":[["2000"]]}}},{"id":66,"uris":["http://zotero.org/users/local/Uwl7j5fD/items/XKEBNQBS"],"uri":["http://zotero.org/users/local/Uwl7j5fD/items/XKEBNQBS"],"itemData":{"id":66,"type":"article-journal","abstract":"Revegetation following dam removal projects may depend on recovery of arbuscular mycorrhizal (AM) and ectomycorrhizal (EM) fungal communities, which perform valuable ecosystem functions. This study assessed the availability and function of AM and EM fungi for plants colonizing dewatered reservoirs following a dam removal project on the Elwha River, Olympic Peninsula, Washington, United States. Availability was assessed via AM fungal spore density in soils and EM root tip colonization of Salix sitchensis (Sitka willow) in an observational field study. The effect of mycorrhizal fungi from 4 sources (reservoir soils, commercial inoculum, and 2 mature plant community soils) on growth and nutrient status of S. sitchensis was quantified in a greenhouse study. AM fungal spores and EM root tips were present in all field samples. In the greenhouse, plants receiving reservoir soil inoculum had only incipient mantle formation, while plants receiving inoculum from mature plant communities had fully formed EM root tips. EM formation corresponded with alleviation of phosphorus stress in plants (lower shoot nitrogen:phosphorus). Thus, revegetating plants have access to AM and EM fungi following dam removal, and EM formation may be especially important for plant P uptake in reservoir soils. However, availability of mycorrhizal fungi declines with distance from established plant communities. Furthermore, EM fungal communities in recently dewatered reservoirs may not be as effective at forming beneficial mycorrhizae as those from mature plant communities. Whole soil inoculum from mature plant communities may be important for the success of revegetating plants and recovery of mycorrhizal fungal communities.","container-title":"Restoration Ecology","DOI":"10.1111/rec.12406","ISSN":"10612971","issue":"1","language":"en","page":"63-71","source":"Crossref","title":"Availability and function of arbuscular mycorrhizal and ectomycorrhizal fungi during revegetation of dewatered reservoirs left after dam removal: Mycorrhizal fungi in dewatered reservoirs","title-short":"Availability and function of arbuscular mycorrhizal and ectomycorrhizal fungi during revegetation of dewatered reservoirs left after dam removal","volume":"25","author":[{"family":"Cortese","given":"Andrew M."},{"family":"Bunn","given":"Rebecca A."}],"issued":{"date-parts":[["2017",1]]}}}],"schema":"https://github.com/citation-style-language/schema/raw/master/csl-citation.json"} </w:instrText>
      </w:r>
      <w:r>
        <w:fldChar w:fldCharType="separate"/>
      </w:r>
      <w:r w:rsidRPr="00904FEA">
        <w:rPr>
          <w:rFonts w:cs="Times New Roman"/>
        </w:rPr>
        <w:t>(</w:t>
      </w:r>
      <w:proofErr w:type="spellStart"/>
      <w:r w:rsidRPr="00904FEA">
        <w:rPr>
          <w:rFonts w:cs="Times New Roman"/>
        </w:rPr>
        <w:t>Klironomos</w:t>
      </w:r>
      <w:proofErr w:type="spellEnd"/>
      <w:r w:rsidRPr="00904FEA">
        <w:rPr>
          <w:rFonts w:cs="Times New Roman"/>
        </w:rPr>
        <w:t>, 2000; Cortese &amp; Bunn, 2017)</w:t>
      </w:r>
      <w:r>
        <w:fldChar w:fldCharType="end"/>
      </w:r>
      <w:r>
        <w:t>.</w:t>
      </w:r>
      <w:r w:rsidRPr="00D8373F">
        <w:t xml:space="preserve"> </w:t>
      </w:r>
      <w:r>
        <w:t xml:space="preserve">In contrast, many ecologically important and historically dominant tree genera such as </w:t>
      </w:r>
      <w:r>
        <w:rPr>
          <w:i/>
        </w:rPr>
        <w:t xml:space="preserve">Tsuga, Pinus, Betula, Fagus, </w:t>
      </w:r>
      <w:r>
        <w:t xml:space="preserve">and </w:t>
      </w:r>
      <w:r>
        <w:rPr>
          <w:i/>
        </w:rPr>
        <w:t>Quercus,</w:t>
      </w:r>
      <w:r>
        <w:t xml:space="preserve"> are obligate ectomycorrhizal (EM) hosts </w:t>
      </w:r>
      <w:r>
        <w:fldChar w:fldCharType="begin"/>
      </w:r>
      <w:r>
        <w:instrText xml:space="preserve"> ADDIN ZOTERO_ITEM CSL_CITATION {"citationID":"RHz9F0Av","properties":{"formattedCitation":"(Brundrett, 2009)","plainCitation":"(Brundrett, 2009)","noteIndex":0},"citationItems":[{"id":439,"uris":["http://zotero.org/users/local/Uwl7j5fD/items/4NYENC76"],"uri":["http://zotero.org/users/local/Uwl7j5fD/items/4NYENC76"],"itemData":{"id":439,"type":"article-journal","abstract":"A comprehensive appraisal of the mycorrhizal literature provides data for 336 plant families representing 99% of flowering plants, with regard to mycorrhizas and other nutritional adaptations. In total, arbuscular (AM), orchid, ectomycorrhizas (EM) and ericoid mycorrhizas and nonmycorrhizal (NM) roots occur in 74%, 9%, 2%, 1% and 6% of Angiosperm species respectively. Many families of NM plants have alternative nutritional strategies such as parasitism, carnivory, or cluster roots. The remaining angiosperms (8%) belong to families reported to have both AM and NM species. These are designated as NM-AM families here and tend to occur in habitats considered non-conducive to mycorrhizal fungi, such as epiphytic, aquatic, extremely cold, dry, disturbed, or saline habitats. Estimated numbers of species in each category of mycorrhizas is presented with lists of NM and EM families. Evolutionary trends are also summarised by providing data on all clades and orders of flowering and non-flowering vascular plants on a global scale. A case study of Western Australian plants revealed that plants with specialised nutritional modes such as carnivory, cluster roots, or EM were much more diverse in this ancient landscape with infertile soils than elsewhere. Detailed information on the mycorrhizal diversity of plants presented here is linked to a website (mycorrhizas.info) to allow data to remain current. Over a century of research effort has resulted in data on mycorrhizal associations of &gt;10,000 plant species that are of great value, but also somewhat of a liability due to conflicting information about some families and genera. It is likely that these conflicts result in part from misdiagnosis of mycorrhizal associations resulting from a lack of standardisation in criteria used to define them. Families that contain both NM and AM species provide a second major source of inconsistency, but even when these are excluded there is a </w:instrText>
      </w:r>
      <w:r>
        <w:rPr>
          <w:rFonts w:ascii="Cambria Math" w:hAnsi="Cambria Math" w:cs="Cambria Math"/>
        </w:rPr>
        <w:instrText>∼</w:instrText>
      </w:r>
      <w:r>
        <w:instrText xml:space="preserve">10% apparent error rate in published lists of mycorrhizal plants. Arbuscules are linked to AM misdiagnosis since they are used less often than vesicles to recognise AM associations in roots and apparently occur sporadically in NM plants. Key issues with the diagnosis of mycorrhizal plants are discussed using the Cyperaceae as a case study. Detailed protocols designed to consistently distinguish AM from endophytic Glomeromycotan Fungus Colonisation (GFC) are provided. This review aims to stimulate debate and provide advice to researchers delving into root biology.","container-title":"Plant and Soil","DOI":"10.1007/s11104-008-9877-9","ISSN":"1573-5036","issue":"1","journalAbbreviation":"Plant Soil","language":"en","page":"37-77","source":"Springer Link","title":"Mycorrhizal associations and other means of nutrition of vascular plants: understanding the global diversity of host plants by resolving conflicting information and developing reliable means of diagnosis","title-short":"Mycorrhizal associations and other means of nutrition of vascular plants","volume":"320","author":[{"family":"Brundrett","given":"Mark C."}],"issued":{"date-parts":[["2009",7,1]]}}}],"schema":"https://github.com/citation-style-language/schema/raw/master/csl-citation.json"} </w:instrText>
      </w:r>
      <w:r>
        <w:fldChar w:fldCharType="separate"/>
      </w:r>
      <w:r w:rsidRPr="00D340CD">
        <w:rPr>
          <w:rFonts w:cs="Times New Roman"/>
        </w:rPr>
        <w:t>(</w:t>
      </w:r>
      <w:proofErr w:type="spellStart"/>
      <w:r w:rsidRPr="00D340CD">
        <w:rPr>
          <w:rFonts w:cs="Times New Roman"/>
        </w:rPr>
        <w:t>Brundrett</w:t>
      </w:r>
      <w:proofErr w:type="spellEnd"/>
      <w:r w:rsidRPr="00D340CD">
        <w:rPr>
          <w:rFonts w:cs="Times New Roman"/>
        </w:rPr>
        <w:t>, 2009)</w:t>
      </w:r>
      <w:r>
        <w:fldChar w:fldCharType="end"/>
      </w:r>
      <w:r>
        <w:t xml:space="preserve">. Since establishment of EM plants in a site is dependent on the availability of suitable EM fungi, a lack thereof can result in negative plant-soil feedbacks that prevent the establishment of EM plants </w:t>
      </w:r>
      <w:r>
        <w:fldChar w:fldCharType="begin"/>
      </w:r>
      <w:r>
        <w:instrText xml:space="preserve"> ADDIN ZOTERO_ITEM CSL_CITATION {"citationID":"tvxhVhjO","properties":{"formattedCitation":"(Nu\\uc0\\u241{}ez {\\i{}et al.}, 2009; Bennett {\\i{}et al.}, 2017)","plainCitation":"(Nuñez et al., 2009; Bennett et al., 2017)","noteIndex":0},"citationItems":[{"id":301,"uris":["http://zotero.org/users/local/Uwl7j5fD/items/KA9RDGPX"],"uri":["http://zotero.org/users/local/Uwl7j5fD/items/KA9RDGPX"],"itemData":{"id":301,"type":"article-journal","abstract":"Why particular invasions succeed and others fail is not well understood. The role of soil biota has been proposed as important. However, the role of mutualists has received much less attention than that of pathogens. Here we report that lack of adequate ectomycorrhizal fungi hinders invasion by exotic Pinaceae on Isla Victoria, Argentina, by reducing both the probability of establishment and growth of invading individuals. More than one hundred exotic tree species were introduced to this island ca. 80 years ago, but invasive trees are found in high densities only in areas adjacent to plantations. With a series of greenhouse and field experiments we found lower mycorrhizal colonization levels and few fungal species far from original plantings, and key fungal mutualists are confined to areas near plantations, probably owing to dispersal limitations. Low inoculum levels far from the plantations are retarding the invasion. Our experiments indicate that positive interactions belowground can play a key but underappreciated role in invasion dynamics.","container-title":"Ecology","DOI":"10.1890/08-2139.1","ISSN":"1939-9170","issue":"9","language":"en","page":"2352-2359","source":"Wiley Online Library","title":"Lack of belowground mutualisms hinders Pinaceae invasions","volume":"90","author":[{"family":"Nuñez","given":"Martin A."},{"family":"Horton","given":"Thomas R."},{"family":"Simberloff","given":"Daniel"}],"issued":{"date-parts":[["2009"]]}}},{"id":449,"uris":["http://zotero.org/users/local/Uwl7j5fD/items/L4KIF4G5"],"uri":["http://zotero.org/users/local/Uwl7j5fD/items/L4KIF4G5"],"itemData":{"id":449,"type":"article-journal","abstract":"Soil biota and plant diversity\nSoil biota, including symbionts such as mycorrhizal fungi and nitrogen-fixing bacteria, as well as fungal and bacterial pathogens, affect terrestrial plant diversity and growth patterns (see the Perspective by van der Putten). Teste et al. monitored growth and survival in Australian shrubland plant species paired with soil biota from plants of the same species and from other plants that use different nutrient acquisition strategies. Plant-soil feedbacks appear to drive local plant diversity through interactions between the different types of plants and their associated soil biota. Bennett et al. studied plant-soil feedbacks in soil and seeds from 550 populations of 55 species of North American trees. Feedbacks ranged from positive to negative, depending on the type of mycorrhizal association, and were related to how densely the same species occurred in natural populations.\nScience, this issue p. 134, p. 173; see also p. 181\nFeedback with soil biota is an important determinant of terrestrial plant diversity. However, the factors regulating plant-soil feedback, which varies from positive to negative among plant species, remain uncertain. In a large-scale study involving 55 species and 550 populations of North American trees, the type of mycorrhizal association explained much of the variation in plant-soil feedbacks. In soil collected beneath conspecifics, arbuscular mycorrhizal trees experienced negative feedback, whereas ectomycorrhizal trees displayed positive feedback. Additionally, arbuscular mycorrhizal trees exhibited strong conspecific inhibition at multiple spatial scales, whereas ectomycorrhizal trees exhibited conspecific facilitation locally and less severe conspecific inhibition regionally. These results suggest that mycorrhizal type, through effects on plant-soil feedbacks, could be an important contributor to population regulation and community structure in temperate forests.\nA large-scale study of North American trees reveals how different soil-associated fungi can either help or hinder tree growth.\nA large-scale study of North American trees reveals how different soil-associated fungi can either help or hinder tree growth.","container-title":"Science","DOI":"10.1126/science.aai8212","ISSN":"0036-8075, 1095-9203","issue":"6321","language":"en","note":"PMID: 28082590","page":"181-184","source":"science.sciencemag.org","title":"Plant-soil feedbacks and mycorrhizal type influence temperate forest population dynamics","volume":"355","author":[{"family":"Bennett","given":"Jonathan A."},{"family":"Maherali","given":"Hafiz"},{"family":"Reinhart","given":"Kurt O."},{"family":"Lekberg","given":"Ylva"},{"family":"Hart","given":"Miranda M."},{"family":"Klironomos","given":"John"}],"issued":{"date-parts":[["2017",1,13]]}}}],"schema":"https://github.com/citation-style-language/schema/raw/master/csl-citation.json"} </w:instrText>
      </w:r>
      <w:r>
        <w:fldChar w:fldCharType="separate"/>
      </w:r>
      <w:r w:rsidRPr="00904FEA">
        <w:rPr>
          <w:rFonts w:cs="Times New Roman"/>
          <w:szCs w:val="24"/>
        </w:rPr>
        <w:t>(</w:t>
      </w:r>
      <w:proofErr w:type="spellStart"/>
      <w:r w:rsidRPr="00904FEA">
        <w:rPr>
          <w:rFonts w:cs="Times New Roman"/>
          <w:szCs w:val="24"/>
        </w:rPr>
        <w:t>Nuñez</w:t>
      </w:r>
      <w:proofErr w:type="spellEnd"/>
      <w:r w:rsidRPr="00904FEA">
        <w:rPr>
          <w:rFonts w:cs="Times New Roman"/>
          <w:szCs w:val="24"/>
        </w:rPr>
        <w:t xml:space="preserve"> </w:t>
      </w:r>
      <w:r w:rsidRPr="00904FEA">
        <w:rPr>
          <w:rFonts w:cs="Times New Roman"/>
          <w:i/>
          <w:iCs/>
          <w:szCs w:val="24"/>
        </w:rPr>
        <w:t>et al.</w:t>
      </w:r>
      <w:r w:rsidRPr="00904FEA">
        <w:rPr>
          <w:rFonts w:cs="Times New Roman"/>
          <w:szCs w:val="24"/>
        </w:rPr>
        <w:t xml:space="preserve">, 2009; Bennett </w:t>
      </w:r>
      <w:r w:rsidRPr="00904FEA">
        <w:rPr>
          <w:rFonts w:cs="Times New Roman"/>
          <w:i/>
          <w:iCs/>
          <w:szCs w:val="24"/>
        </w:rPr>
        <w:t>et al.</w:t>
      </w:r>
      <w:r w:rsidRPr="00904FEA">
        <w:rPr>
          <w:rFonts w:cs="Times New Roman"/>
          <w:szCs w:val="24"/>
        </w:rPr>
        <w:t>, 2017)</w:t>
      </w:r>
      <w:r>
        <w:fldChar w:fldCharType="end"/>
      </w:r>
      <w:r>
        <w:t xml:space="preserve">. </w:t>
      </w:r>
    </w:p>
    <w:p w14:paraId="133D5A97" w14:textId="77777777" w:rsidR="00C1171B" w:rsidRDefault="00C1171B" w:rsidP="00C1171B">
      <w:pPr>
        <w:spacing w:line="252" w:lineRule="auto"/>
      </w:pPr>
      <w:r>
        <w:t xml:space="preserve">Mycorrhizal networks are formed when two or more plants are connected by the mycelial network of at least one ectomycorrhizal fungus </w:t>
      </w:r>
      <w:r>
        <w:fldChar w:fldCharType="begin"/>
      </w:r>
      <w:r>
        <w:instrText xml:space="preserve"> ADDIN ZOTERO_ITEM CSL_CITATION {"citationID":"m5t2GB1l","properties":{"formattedCitation":"(Selosse {\\i{}et al.}, 2006)","plainCitation":"(Selosse et al., 2006)","noteIndex":0},"citationItems":[{"id":547,"uris":["http://zotero.org/users/local/Uwl7j5fD/items/88US79ZL"],"uri":["http://zotero.org/users/local/Uwl7j5fD/items/88US79ZL"],"itemData":{"id":547,"type":"article-journal","container-title":"Trends in Ecology &amp; Evolution","DOI":"10.1016/j.tree.2006.07.003","ISSN":"01695347","issue":"11","journalAbbreviation":"Trends in Ecology &amp; Evolution","language":"en","page":"621-628","source":"DOI.org (Crossref)","title":"Mycorrhizal networks: des liaisons dangereuses?","title-short":"Mycorrhizal networks","volume":"21","author":[{"family":"Selosse","given":"Marc-André"},{"family":"Richard","given":"Franck"},{"family":"He","given":"Xinhua"},{"family":"Simard","given":"Suzanne W."}],"issued":{"date-parts":[["2006",11]]}}}],"schema":"https://github.com/citation-style-language/schema/raw/master/csl-citation.json"} </w:instrText>
      </w:r>
      <w:r>
        <w:fldChar w:fldCharType="separate"/>
      </w:r>
      <w:r w:rsidRPr="00A408B3">
        <w:rPr>
          <w:rFonts w:cs="Times New Roman"/>
          <w:szCs w:val="24"/>
        </w:rPr>
        <w:t>(</w:t>
      </w:r>
      <w:proofErr w:type="spellStart"/>
      <w:r w:rsidRPr="00A408B3">
        <w:rPr>
          <w:rFonts w:cs="Times New Roman"/>
          <w:szCs w:val="24"/>
        </w:rPr>
        <w:t>Selosse</w:t>
      </w:r>
      <w:proofErr w:type="spellEnd"/>
      <w:r w:rsidRPr="00A408B3">
        <w:rPr>
          <w:rFonts w:cs="Times New Roman"/>
          <w:szCs w:val="24"/>
        </w:rPr>
        <w:t xml:space="preserve"> </w:t>
      </w:r>
      <w:r w:rsidRPr="00A408B3">
        <w:rPr>
          <w:rFonts w:cs="Times New Roman"/>
          <w:i/>
          <w:iCs/>
          <w:szCs w:val="24"/>
        </w:rPr>
        <w:t>et al.</w:t>
      </w:r>
      <w:r w:rsidRPr="00A408B3">
        <w:rPr>
          <w:rFonts w:cs="Times New Roman"/>
          <w:szCs w:val="24"/>
        </w:rPr>
        <w:t>, 2006)</w:t>
      </w:r>
      <w:r>
        <w:fldChar w:fldCharType="end"/>
      </w:r>
      <w:r>
        <w:t xml:space="preserve">, in which the transfer of nutrients between plant hosts belowground can occur </w:t>
      </w:r>
      <w:r>
        <w:fldChar w:fldCharType="begin"/>
      </w:r>
      <w:r>
        <w:instrText xml:space="preserve"> ADDIN ZOTERO_ITEM CSL_CITATION {"citationID":"EugCvzFT","properties":{"formattedCitation":"(He {\\i{}et al.}, 2003)","plainCitation":"(He et al., 2003)","noteIndex":0},"citationItems":[{"id":677,"uris":["http://zotero.org/users/local/Uwl7j5fD/items/39BZWJPS"],"uri":["http://zotero.org/users/local/Uwl7j5fD/items/39BZWJPS"],"itemData":{"id":677,"type":"article-journal","abstract":"Mycorrhizae play a critical role in nutrient capture from soils. Arbuscular mycorrhizae (AM) and ectomycorrhizae (EM) are the most important mycorrhizae in agricultural and natural ecosystems. AM and EM fungi use inorganic NH4+ and NO−3 , and most EM fungi are capable of using organic nitrogen. The heavier stable isotope 15N is discriminated against during biogeochemical and biochemical processes. Differences in 15N (atom%) or δ15N (‰) provide nitrogen movement information in an experimental system. A range of 20 to 50% of one-way N-transfer has been observed from legumes to nonlegumes.","container-title":"Critical Reviews in Plant Sciences","DOI":"10.1080/713608315","ISSN":"0735-2689, 1549-7836","issue":"6","journalAbbreviation":"Critical Reviews in Plant Sciences","language":"en","page":"531-567","source":"DOI.org (Crossref)","title":"Nitrogen Transfer Within and Between Plants Through Common Mycorrhizal Networks (CMNs)","volume":"22","author":[{"family":"He","given":"Xin-Hua"},{"family":"Critchley","given":"Christa"},{"family":"Bledsoe","given":"Caroline"}],"issued":{"date-parts":[["2003",10]]}}}],"schema":"https://github.com/citation-style-language/schema/raw/master/csl-citation.json"} </w:instrText>
      </w:r>
      <w:r>
        <w:fldChar w:fldCharType="separate"/>
      </w:r>
      <w:r w:rsidRPr="00A408B3">
        <w:rPr>
          <w:rFonts w:cs="Times New Roman"/>
          <w:szCs w:val="24"/>
        </w:rPr>
        <w:t xml:space="preserve">(He </w:t>
      </w:r>
      <w:r w:rsidRPr="00A408B3">
        <w:rPr>
          <w:rFonts w:cs="Times New Roman"/>
          <w:i/>
          <w:iCs/>
          <w:szCs w:val="24"/>
        </w:rPr>
        <w:t>et al.</w:t>
      </w:r>
      <w:r w:rsidRPr="00A408B3">
        <w:rPr>
          <w:rFonts w:cs="Times New Roman"/>
          <w:szCs w:val="24"/>
        </w:rPr>
        <w:t>, 2003)</w:t>
      </w:r>
      <w:r>
        <w:fldChar w:fldCharType="end"/>
      </w:r>
      <w:r>
        <w:t xml:space="preserve">. Mycorrhizal networks allow nearby EM seedlings to have access to the benefits of EM fungi while the associated carbon costs are subsidized by overstory trees </w:t>
      </w:r>
      <w:r>
        <w:fldChar w:fldCharType="begin"/>
      </w:r>
      <w:r>
        <w:instrText xml:space="preserve"> ADDIN ZOTERO_ITEM CSL_CITATION {"citationID":"W3foJmrE","properties":{"formattedCitation":"(Teste &amp; Simard, 2008)","plainCitation":"(Teste &amp; Simard, 2008)","noteIndex":0},"citationItems":[{"id":493,"uris":["http://zotero.org/users/local/Uwl7j5fD/items/LXUYZ7N8"],"uri":["http://zotero.org/users/local/Uwl7j5fD/items/LXUYZ7N8"],"itemData":{"id":493,"type":"article-journal","abstract":"The distribution of dry Douglas-fir forests in western North America is expected to shift northward with climate change and disappear from the grassland interface in the southern interior of British Columbia. This shift may be accentuated by clearcutting, a common harvesting practice that aims to reduce the competitive effects of residual mature trees on new regeneration, but in so doing, ignores their facilitative effects. In this study, we investigated the net effects of competition from and facilitation by mature trees retained on harvested sites on seedling establishment in the dry interface Douglas-fir forests. We demonstrate that access to a mycorrhizal network (MN) and proximity to trees have important influences on seedling performance. On six sites, we established trenched plots around 24 mature Pseudotsuga menziesii var. glauca (Douglas-fir) trees, then planted Douglas-fir seedlings into four mesh treatments that served to restrict MN access (i.e., planted into mesh bags with 0.5-, 35-, or 250-μm pores, or without mesh) or into impermeable bags (grown in isolation) at four distances (0.5, 1.0, 2.5, or 5.0 m). Seedling survival tended to be greater and water stress lower where seedlings had full access to the MN. Seedling height, shoot biomass, needle biomass, and nutrient uptake peaked at 2.5–5.0 m from mature trees. Seedlings 0.5 m from mature trees had lower CO2 assimilation rates and wood δ13C compared to seedlings 5.0 m away. Competition for soil resources was highest near mature trees but facilitation was relatively greater at further distances, resulting in a zone of net benefit for seedlings. These results show that intraspecific tree-seedling interactions are both competitive and facilitative in dry Douglas-fir forests, and that they are spatially dependent. After disturbance, maintaining residual mature trees may be important for their beneficial regeneration zones.","container-title":"Oecologia","DOI":"10.1007/s00442-008-1136-5","ISSN":"1432-1939","issue":"2","journalAbbreviation":"Oecologia","language":"en","page":"193-203","source":"Springer Link","title":"Mycorrhizal networks and distance from mature trees alter patterns of competition and facilitation in dry Douglas-fir forests","volume":"158","author":[{"family":"Teste","given":"François P."},{"family":"Simard","given":"Suzanne W."}],"issued":{"date-parts":[["2008",11,1]]}}}],"schema":"https://github.com/citation-style-language/schema/raw/master/csl-citation.json"} </w:instrText>
      </w:r>
      <w:r>
        <w:fldChar w:fldCharType="separate"/>
      </w:r>
      <w:r w:rsidRPr="0085563F">
        <w:rPr>
          <w:rFonts w:cs="Times New Roman"/>
        </w:rPr>
        <w:t>(Teste &amp; Simard, 2008)</w:t>
      </w:r>
      <w:r>
        <w:fldChar w:fldCharType="end"/>
      </w:r>
      <w:r>
        <w:t xml:space="preserve">. Seedling performance </w:t>
      </w:r>
      <w:r>
        <w:lastRenderedPageBreak/>
        <w:t xml:space="preserve">can be enhanced by mycorrhizal networks </w:t>
      </w:r>
      <w:r>
        <w:fldChar w:fldCharType="begin"/>
      </w:r>
      <w:r>
        <w:instrText xml:space="preserve"> ADDIN ZOTERO_ITEM CSL_CITATION {"citationID":"47org8qK","properties":{"formattedCitation":"(Booth &amp; Hoeksema, 2010)","plainCitation":"(Booth &amp; Hoeksema, 2010)","noteIndex":0},"citationItems":[{"id":522,"uris":["http://zotero.org/users/local/Uwl7j5fD/items/UUITL884"],"uri":["http://zotero.org/users/local/Uwl7j5fD/items/UUITL884"],"itemData":{"id":522,"type":"article-journal","abstract":"The dynamics of forest ecosystems depend largely on the survival of seedlings in their understories, but seedling survival is known to be limited by preemption of light and soil resources by overstory trees. It has been hypothesized that “common mycorrhizal networks,” wherein roots of seedlings are linked to overstory trees by symbiotic mycorrhizal fungi, offset some or all of the negative effects of trees on seedlings. Here we report the results of an unambiguous experimental test of this hypothesis in a monodominant Pinus radiata forest. We also tested the hypothesis that adaptive differentiation among plant populations causes local plant genotypes to respond more positively to mycorrhizal networks than nonlocal plant genotypes. Our results demonstrate large positive effects of overstory mycorrhizal networks on seedling survival, along with simultaneous negative effects of tree roots, regardless of whether plant genotypes were locally derived. Physiological and leaf-chemistry measurements suggest that seedlings connected to common mycorrhizal networks benefited from increased access to soil water. The similar magnitude of the positive and negative overstory effects on seedlings and the ubiquity of mycorrhizal networks in forests suggest that mycorrhizal networks fundamentally influence the demographic and community dynamics of forest trees.","container-title":"Ecology","DOI":"10.1890/09-1139.1","ISSN":"1939-9170","issue":"8","language":"en","page":"2294-2302","source":"Wiley Online Library","title":"Mycorrhizal networks counteract competitive effects of canopy trees on seedling survival","volume":"91","author":[{"family":"Booth","given":"Michael G."},{"family":"Hoeksema","given":"Jason D."}],"issued":{"date-parts":[["2010"]]}}}],"schema":"https://github.com/citation-style-language/schema/raw/master/csl-citation.json"} </w:instrText>
      </w:r>
      <w:r>
        <w:fldChar w:fldCharType="separate"/>
      </w:r>
      <w:r w:rsidRPr="0085563F">
        <w:rPr>
          <w:rFonts w:cs="Times New Roman"/>
        </w:rPr>
        <w:t>(Booth &amp; Hoeksema, 2010)</w:t>
      </w:r>
      <w:r>
        <w:fldChar w:fldCharType="end"/>
      </w:r>
      <w:r>
        <w:t xml:space="preserve">, but benefits decrease when distance from established EM trees increases </w:t>
      </w:r>
      <w:r>
        <w:fldChar w:fldCharType="begin"/>
      </w:r>
      <w:r>
        <w:instrText xml:space="preserve"> ADDIN ZOTERO_ITEM CSL_CITATION {"citationID":"Fmsw6sgy","properties":{"formattedCitation":"(Dickie {\\i{}et al.}, 2012; Grove {\\i{}et al.}, 2019)","plainCitation":"(Dickie et al., 2012; Grove et al., 2019)","noteIndex":0},"citationItems":[{"id":470,"uris":["http://zotero.org/users/local/Uwl7j5fD/items/PBAY2B5Y"],"uri":["http://zotero.org/users/local/Uwl7j5fD/items/PBAY2B5Y"],"itemData":{"id":470,"type":"article-journal","abstract":"Establishment of Nothofagus spp. into grasslands can be limited by a lack of ectomycorrhizal inoculum, but the degree of mycorrhizal inoculum limitation and how far mycorrhizal inoculum spreads from forest edges has not been quantified. Further, it has been hypothesised, but not confirmed, that established Kunzea ericoides (a native Myrtaceae tree with both ectomycorrhizal and arbuscular mycorrhizal associations) could serve as an alternative host for ectomycorrhizal fungi and thus facilitate mycorrhizal infection of Nothofagus. To confirm and quantify these hypotheses, first we used an ex situ, intact-soil-core bioassay of soils collected near Nothofagus solandri var. cliffortioides forest, near established Kunzea, and in grassland distant from trees of either species. Second, we collected soils along transects of increasing distance from Nothofagus forest into adjacent grasslands. Mycorrhizal infection of Nothofagus solandri var. cliffortioides seedlings was high in soils from Near-Nothofagus and Near-Kunzea (74% and 67% of root tips, respectively) and lower in soils Distant from trees (28% of root tips). Seedlings in soils from Near-Nothofagus also had 3.4× greater biomass than those in soils Distant from trees. In the transects, mycorrhizal infection declined in a stepwise fashion at approximately 16 m distance from the forest edge, and seedling biomass was positively correlated with mycorrhizal infection. These data confirm that a lack of mycorrhizal inoculum can limit seedling establishment and show that Kunzea can provide an alternative host for Nothofagus-compatible mycorrhizal inoculum. Further, they provide quantitative data for spatially explicit models of woody establishment. Forty percent of seedlings in soils collected distant from trees had greater than 20% infection, suggesting that a lack of mycorrhizal inoculum is not a complete barrier to woody establishment, but instead may act as one of multiple environmental filters slowing beech spread.","container-title":"New Zealand Journal of Ecology","issue":"2","language":"en","page":"6","source":"Zotero","title":"Quantification of mycorrhizal limitation in beech spread","volume":"36","author":[{"family":"Dickie","given":"Ian A"},{"family":"Davis","given":"Murray"},{"family":"Carswell","given":"Fiona E"}],"issued":{"date-parts":[["2012"]]}}},{"id":443,"uris":["http://zotero.org/users/local/Uwl7j5fD/items/U39NZPYH"],"uri":["http://zotero.org/users/local/Uwl7j5fD/items/U39NZPYH"],"itemData":{"id":443,"type":"article-journal","abstract":"Reforestation is challenging when timber harvested areas have been degraded, invaded by nonnative species, or are of marginal suitability to begin with. Conifers form mutualistic partnerships with ectomycorrhizal fungi (EMF) to obtain greater access to soil resources, and these partnerships may be especially important in degraded areas. However, timber harvest can impact mycorrhizal fungi by removing or compacting topsoil, removing host plants, and warming and drying the soil. We used a field experiment to evaluate the role of EMF in Douglas-fir reforestation in clearcuts invaded by Cytisus scoparius (Scotch broom) where traditional reforestation approaches have repeatedly failed. We tested how planting distance from intact Douglas-fir forest edges influenced reforestation success and whether inoculation with forest soils can be used to restore EMF relationships. We used an Illumina DNA sequencing approach to measure the abundance, richness and composition of ectomycorrhizal fungi on Douglas-fir roots, and assessed differences in Douglas-fir seedling survival and growth near to and far from forest edges with and without forest soil inoculum. Planting Douglas-fir seedlings near forest edges increased seedling survival, growth, and EMF root colonization. Edge proximity had no effect on EMF richness but did change fungal community composition. Inoculations with forest soil did not increase EMF abundance or richness or change community composition, nor did it improve seedling establishment. With Illumina sequencing, we identified two to three times greater species richness than described in previous edge effects studies. Of the 95 EMF species we identified, 40% of the species occurred on less than 5% of the seedlings. The ability to detect fungi at low abundance may explain why we did not detect differences in EMF richness with distance to hosts as previous studies. Our findings suggest that forest edges are suitable for reforestation, even when the interiors of deforested areas are not. We advocate for timber harvest designs that maximize edge habitat where ectomycorrhizal fungi contribute to tree establishment. However, this study does not support the use of inoculation with forest soil as a simple method to enhance EMF and seedling survival.","container-title":"Ecological Applications","DOI":"10.1002/eap.1867","ISSN":"1051-0761, 1939-5582","issue":"3","journalAbbreviation":"Ecol Appl","language":"en","page":"e01867","source":"DOI.org (Crossref)","title":"Ectomycorrhizas and tree seedling establishment are strongly influenced by forest edge proximity but not soil inoculum","volume":"29","author":[{"family":"Grove","given":"Sara"},{"family":"Saarman","given":"Norah P."},{"family":"Gilbert","given":"Gregory S."},{"family":"Faircloth","given":"Brant"},{"family":"Haubensak","given":"Karen A."},{"family":"Parker","given":"Ingrid M."}],"issued":{"date-parts":[["2019",4]]}}}],"schema":"https://github.com/citation-style-language/schema/raw/master/csl-citation.json"} </w:instrText>
      </w:r>
      <w:r>
        <w:fldChar w:fldCharType="separate"/>
      </w:r>
      <w:r w:rsidRPr="001645B0">
        <w:rPr>
          <w:rFonts w:cs="Times New Roman"/>
          <w:szCs w:val="24"/>
        </w:rPr>
        <w:t xml:space="preserve">(Dickie </w:t>
      </w:r>
      <w:r w:rsidRPr="001645B0">
        <w:rPr>
          <w:rFonts w:cs="Times New Roman"/>
          <w:i/>
          <w:iCs/>
          <w:szCs w:val="24"/>
        </w:rPr>
        <w:t>et al.</w:t>
      </w:r>
      <w:r w:rsidRPr="001645B0">
        <w:rPr>
          <w:rFonts w:cs="Times New Roman"/>
          <w:szCs w:val="24"/>
        </w:rPr>
        <w:t xml:space="preserve">, 2012; Grove </w:t>
      </w:r>
      <w:r w:rsidRPr="001645B0">
        <w:rPr>
          <w:rFonts w:cs="Times New Roman"/>
          <w:i/>
          <w:iCs/>
          <w:szCs w:val="24"/>
        </w:rPr>
        <w:t>et al.</w:t>
      </w:r>
      <w:r w:rsidRPr="001645B0">
        <w:rPr>
          <w:rFonts w:cs="Times New Roman"/>
          <w:szCs w:val="24"/>
        </w:rPr>
        <w:t>, 2019)</w:t>
      </w:r>
      <w:r>
        <w:fldChar w:fldCharType="end"/>
      </w:r>
      <w:r>
        <w:t xml:space="preserve">. In absence of established EM networks, inoculation with EM fungi from a desired reference site can enhance establishment of planted EM seedlings </w:t>
      </w:r>
      <w:r>
        <w:fldChar w:fldCharType="begin"/>
      </w:r>
      <w:r>
        <w:instrText xml:space="preserve"> ADDIN ZOTERO_ITEM CSL_CITATION {"citationID":"Xk3Fe3dw","properties":{"formattedCitation":"(Maltz &amp; Treseder, 2015)","plainCitation":"(Maltz &amp; Treseder, 2015)","noteIndex":0},"citationItems":[{"id":576,"uris":["http://zotero.org/users/local/Uwl7j5fD/items/FWQ8JRPQ"],"uri":["http://zotero.org/users/local/Uwl7j5fD/items/FWQ8JRPQ"],"itemData":{"id":576,"type":"webpage","abstract":"Inoculation may influence mycorrhizal colonization and provide benefits to plants in restoration projects. However, it is unclear whether inoculation has consistent effects across ecosystem types, if...","container-title":"Restoration Ecology","language":"en","note":"DOI: 10.1111/rec.12231","title":"Sources of inocula influence mycorrhizal colonization of plants in restoration projects: a meta‐analysis","title-short":"Sources of inocula influence mycorrhizal colonization of plants in restoration projects","URL":"https://onlinelibrary.wiley.com/doi/abs/10.1111/rec.12231","author":[{"family":"Maltz","given":"Mia R."},{"family":"Treseder","given":"Kathleen K."}],"accessed":{"date-parts":[["2019",8,29]]},"issued":{"date-parts":[["2015",9,1]]}}}],"schema":"https://github.com/citation-style-language/schema/raw/master/csl-citation.json"} </w:instrText>
      </w:r>
      <w:r>
        <w:fldChar w:fldCharType="separate"/>
      </w:r>
      <w:r w:rsidRPr="006F6792">
        <w:rPr>
          <w:rFonts w:cs="Times New Roman"/>
        </w:rPr>
        <w:t>(</w:t>
      </w:r>
      <w:proofErr w:type="spellStart"/>
      <w:r w:rsidRPr="006F6792">
        <w:rPr>
          <w:rFonts w:cs="Times New Roman"/>
        </w:rPr>
        <w:t>Maltz</w:t>
      </w:r>
      <w:proofErr w:type="spellEnd"/>
      <w:r w:rsidRPr="006F6792">
        <w:rPr>
          <w:rFonts w:cs="Times New Roman"/>
        </w:rPr>
        <w:t xml:space="preserve"> &amp; </w:t>
      </w:r>
      <w:proofErr w:type="spellStart"/>
      <w:r w:rsidRPr="006F6792">
        <w:rPr>
          <w:rFonts w:cs="Times New Roman"/>
        </w:rPr>
        <w:t>Treseder</w:t>
      </w:r>
      <w:proofErr w:type="spellEnd"/>
      <w:r w:rsidRPr="006F6792">
        <w:rPr>
          <w:rFonts w:cs="Times New Roman"/>
        </w:rPr>
        <w:t>, 2015)</w:t>
      </w:r>
      <w:r>
        <w:fldChar w:fldCharType="end"/>
      </w:r>
      <w:r>
        <w:t xml:space="preserve">. Even a small amount of soil collected near healthy EM conspecifics can improve EM colonization, survivorship, growth, and foliar nutrient status of planted seedlings </w:t>
      </w:r>
      <w:r>
        <w:fldChar w:fldCharType="begin"/>
      </w:r>
      <w:r>
        <w:instrText xml:space="preserve"> ADDIN ZOTERO_ITEM CSL_CITATION {"citationID":"GnuqnMXo","properties":{"formattedCitation":"(Amaranthus &amp; Perry, 1987; Cortese &amp; Bunn, 2017)","plainCitation":"(Amaranthus &amp; Perry, 1987; Cortese &amp; Bunn, 2017)","noteIndex":0},"citationItems":[{"id":480,"uris":["http://zotero.org/users/local/Uwl7j5fD/items/YVTW6VDG"],"uri":["http://zotero.org/users/local/Uwl7j5fD/items/YVTW6VDG"],"itemData":{"id":480,"type":"article-journal","abstract":"Small amounts (150 mL) of soil from established conifer plantations and mature forest were transferred to planting holes on three clear-cuts in southwest Oregon and northern California to enhance m..., Les auteurs ont placé de petites quantités de sol (150 mL) provenant de plantations de conifères bien établies et de forêts à maturité, dans les cavités de plantation lors du reboisement de station...","container-title":"Canadian Journal of Forest Research","DOI":"10.1139/x87-147","ISSN":"0045-5067","issue":"8","journalAbbreviation":"Can. J. For. Res.","page":"944-950","source":"NRC Research Press","title":"Effect of soil transfer on ectomycorrhiza formation and the survival and growth of conifer seedlings on old, nonreforested clear-cuts","volume":"17","author":[{"family":"Amaranthus","given":"M. P."},{"family":"Perry","given":"D. A."}],"issued":{"date-parts":[["1987",8,1]]}}},{"id":66,"uris":["http://zotero.org/users/local/Uwl7j5fD/items/XKEBNQBS"],"uri":["http://zotero.org/users/local/Uwl7j5fD/items/XKEBNQBS"],"itemData":{"id":66,"type":"article-journal","abstract":"Revegetation following dam removal projects may depend on recovery of arbuscular mycorrhizal (AM) and ectomycorrhizal (EM) fungal communities, which perform valuable ecosystem functions. This study assessed the availability and function of AM and EM fungi for plants colonizing dewatered reservoirs following a dam removal project on the Elwha River, Olympic Peninsula, Washington, United States. Availability was assessed via AM fungal spore density in soils and EM root tip colonization of Salix sitchensis (Sitka willow) in an observational field study. The effect of mycorrhizal fungi from 4 sources (reservoir soils, commercial inoculum, and 2 mature plant community soils) on growth and nutrient status of S. sitchensis was quantified in a greenhouse study. AM fungal spores and EM root tips were present in all field samples. In the greenhouse, plants receiving reservoir soil inoculum had only incipient mantle formation, while plants receiving inoculum from mature plant communities had fully formed EM root tips. EM formation corresponded with alleviation of phosphorus stress in plants (lower shoot nitrogen:phosphorus). Thus, revegetating plants have access to AM and EM fungi following dam removal, and EM formation may be especially important for plant P uptake in reservoir soils. However, availability of mycorrhizal fungi declines with distance from established plant communities. Furthermore, EM fungal communities in recently dewatered reservoirs may not be as effective at forming beneficial mycorrhizae as those from mature plant communities. Whole soil inoculum from mature plant communities may be important for the success of revegetating plants and recovery of mycorrhizal fungal communities.","container-title":"Restoration Ecology","DOI":"10.1111/rec.12406","ISSN":"10612971","issue":"1","language":"en","page":"63-71","source":"Crossref","title":"Availability and function of arbuscular mycorrhizal and ectomycorrhizal fungi during revegetation of dewatered reservoirs left after dam removal: Mycorrhizal fungi in dewatered reservoirs","title-short":"Availability and function of arbuscular mycorrhizal and ectomycorrhizal fungi during revegetation of dewatered reservoirs left after dam removal","volume":"25","author":[{"family":"Cortese","given":"Andrew M."},{"family":"Bunn","given":"Rebecca A."}],"issued":{"date-parts":[["2017",1]]}}}],"schema":"https://github.com/citation-style-language/schema/raw/master/csl-citation.json"} </w:instrText>
      </w:r>
      <w:r>
        <w:fldChar w:fldCharType="separate"/>
      </w:r>
      <w:r w:rsidRPr="00904FEA">
        <w:rPr>
          <w:rFonts w:cs="Times New Roman"/>
        </w:rPr>
        <w:t>(Amaranthus &amp; Perry, 1987; Cortese &amp; Bunn, 2017)</w:t>
      </w:r>
      <w:r>
        <w:fldChar w:fldCharType="end"/>
      </w:r>
      <w:r>
        <w:t xml:space="preserve">. Since young forests tend to support low EM fungal diversity relative to mature forests </w:t>
      </w:r>
      <w:r>
        <w:fldChar w:fldCharType="begin"/>
      </w:r>
      <w:r>
        <w:instrText xml:space="preserve"> ADDIN ZOTERO_ITEM CSL_CITATION {"citationID":"4rUjUFCH","properties":{"formattedCitation":"(Twieg {\\i{}et al.}, 2007)","plainCitation":"(Twieg et al., 2007)","noteIndex":0},"citationItems":[{"id":381,"uris":["http://zotero.org/users/local/Uwl7j5fD/items/KX5MKWZ9"],"uri":["http://zotero.org/users/local/Uwl7j5fD/items/KX5MKWZ9"],"itemData":{"id":381,"type":"article-journal","abstract":"• Ectomycorrhizal (ECM) fungal communities of Douglas-fir (Pseudotsuga menziesii) and paper birch (Betula papyrifera) were studied along a chronosequence of forest development after stand-replacing disturbance. Previous studies of ECM succession did not use molecular techniques for fungal identification or lacked replication, and none examined different host species. • Four age classes of mixed forests were sampled: 5-, 26-, 65-, and 100-yr-old, including wildfire-origin stands from all four classes and stands of clearcut origin from the youngest two classes. Morphotyping and DNA sequences were used to identify fungi on ECM root tips. • ECM fungal diversities were lower in 5-yr-old than in older stands on Douglas-fir, but were similar among age classes on paper birch. Host-specific fungi dominated in 5-yr-old stands, but host generalists were dominant in the oldest two age classes. ECM fungal community compositions were similar in 65- and 100-yr-old stands but differed among all other pairs of age classes. • Within the age range studied, site-level ECM fungal diversity reached a plateau by the 26-yr-old age class, while community composition stabilized by the 65-yr-old class. Simple categories such as ‘early stage’, ‘multi stage’, and ‘late stage’ were insufficient to describe fungal species’ successional patterns. Rather, ECM fungal succession may be best described in the context of stand development.","container-title":"New Phytologist","DOI":"10.1111/j.1469-8137.2007.02173.x","ISSN":"1469-8137","issue":"2","language":"en","page":"437-447","source":"Wiley Online Library","title":"Ectomycorrhizal fungal succession in mixed temperate forests","volume":"176","author":[{"family":"Twieg","given":"Brendan D."},{"family":"Durall","given":"Daniel M."},{"family":"Simard","given":"Suzanne W."}],"issued":{"date-parts":[["2007"]]}}}],"schema":"https://github.com/citation-style-language/schema/raw/master/csl-citation.json"} </w:instrText>
      </w:r>
      <w:r>
        <w:fldChar w:fldCharType="separate"/>
      </w:r>
      <w:r w:rsidRPr="00FE1702">
        <w:rPr>
          <w:rFonts w:cs="Times New Roman"/>
          <w:szCs w:val="24"/>
        </w:rPr>
        <w:t>(</w:t>
      </w:r>
      <w:proofErr w:type="spellStart"/>
      <w:r w:rsidRPr="00FE1702">
        <w:rPr>
          <w:rFonts w:cs="Times New Roman"/>
          <w:szCs w:val="24"/>
        </w:rPr>
        <w:t>Twieg</w:t>
      </w:r>
      <w:proofErr w:type="spellEnd"/>
      <w:r w:rsidRPr="00FE1702">
        <w:rPr>
          <w:rFonts w:cs="Times New Roman"/>
          <w:szCs w:val="24"/>
        </w:rPr>
        <w:t xml:space="preserve"> </w:t>
      </w:r>
      <w:r w:rsidRPr="00FE1702">
        <w:rPr>
          <w:rFonts w:cs="Times New Roman"/>
          <w:i/>
          <w:iCs/>
          <w:szCs w:val="24"/>
        </w:rPr>
        <w:t>et al.</w:t>
      </w:r>
      <w:r w:rsidRPr="00FE1702">
        <w:rPr>
          <w:rFonts w:cs="Times New Roman"/>
          <w:szCs w:val="24"/>
        </w:rPr>
        <w:t>, 2007)</w:t>
      </w:r>
      <w:r>
        <w:fldChar w:fldCharType="end"/>
      </w:r>
      <w:r>
        <w:t xml:space="preserve">, inoculation may have the added benefit of increasing the species richness and subsequent functional diversity of EM fungi in post-agricultural forests. </w:t>
      </w:r>
    </w:p>
    <w:p w14:paraId="33C91F0F" w14:textId="77777777" w:rsidR="00C1171B" w:rsidRDefault="00C1171B" w:rsidP="00C1171B">
      <w:pPr>
        <w:tabs>
          <w:tab w:val="left" w:pos="1440"/>
        </w:tabs>
        <w:spacing w:line="252" w:lineRule="auto"/>
      </w:pPr>
      <w:r>
        <w:t xml:space="preserve">Restoration of degraded forests is critical in the mitigation of biodiversity loss and anthropogenic climate change. Applied nucleation is a restoration strategy where patches of native vegetation are planted to serve as focal point from which natural recruitment can originate through facilitation </w:t>
      </w:r>
      <w:r>
        <w:fldChar w:fldCharType="begin"/>
      </w:r>
      <w:r>
        <w:instrText xml:space="preserve"> ADDIN ZOTERO_ITEM CSL_CITATION {"citationID":"hjSbTrcM","properties":{"formattedCitation":"(Franks, 2003)","plainCitation":"(Franks, 2003)","noteIndex":0},"citationItems":[{"id":574,"uris":["http://zotero.org/users/local/Uwl7j5fD/items/F3V9KU4E"],"uri":["http://zotero.org/users/local/Uwl7j5fD/items/F3V9KU4E"],"itemData":{"id":574,"type":"article-journal","abstract":"Understanding plant interactions during succession is a central goal of plant ecology. The nucleation model of succession proposes that facilitative interactions lead to outward radiations of colonization from established plants. I tested the nucleation hypothesis for early successional plants on the primary dunes of barrier islands in the southeastern United States. On the coast of Florida and Georgia, I sampled the above-ground vegetation and the seed bank, and conducted a seedling emergence experiment in the field. Vegetation sampling at both field sites showed more positive correlations in percent cover of adult species than expected by chance. At both sites, there were significantly more seeds under plants than in open microsites. Seeds of the same species as the adult plants in the vegetated microsites were removed from the analysis, so the accumulation of seeds under adults is not due simply to a seed shadow effect. Seeds of six species were added to plots under plants and in open microsites, and seedling emergence was significantly higher under plants than in the open. The findings support the predictions of the nucleation hypothesis for the early life-history stages of seed dispersal and germination, and help to explain the clumped distribution of dune plants seen in the field. The results add further support for the contention that facilitation is an important mode of plant interaction in stressful and disturbed habitats.","container-title":"Plant Ecology","DOI":"10.1023/A:1024426608966","ISSN":"1573-5052","issue":"1","journalAbbreviation":"Plant Ecology","language":"en","page":"1-11","source":"Springer Link","title":"Facilitation in multiple life-history stages: evidence for nucleated succession in coastal dunes","title-short":"Facilitation in multiple life-history stages","volume":"168","author":[{"family":"Franks","given":"Steven J."}],"issued":{"date-parts":[["2003",8,1]]}}}],"schema":"https://github.com/citation-style-language/schema/raw/master/csl-citation.json"} </w:instrText>
      </w:r>
      <w:r>
        <w:fldChar w:fldCharType="separate"/>
      </w:r>
      <w:r w:rsidRPr="00490F41">
        <w:rPr>
          <w:rFonts w:cs="Times New Roman"/>
        </w:rPr>
        <w:t>(Franks, 2003)</w:t>
      </w:r>
      <w:r>
        <w:fldChar w:fldCharType="end"/>
      </w:r>
      <w:r>
        <w:t xml:space="preserve">, which is cheaper to implement and more structurally diverse compared to single-species plantations </w:t>
      </w:r>
      <w:r>
        <w:fldChar w:fldCharType="begin"/>
      </w:r>
      <w:r>
        <w:instrText xml:space="preserve"> ADDIN ZOTERO_ITEM CSL_CITATION {"citationID":"f42iezDI","properties":{"formattedCitation":"(Corbin &amp; Holl, 2012)","plainCitation":"(Corbin &amp; Holl, 2012)","noteIndex":0},"citationItems":[{"id":501,"uris":["http://zotero.org/users/local/Uwl7j5fD/items/QMFX6JY6"],"uri":["http://zotero.org/users/local/Uwl7j5fD/items/QMFX6JY6"],"itemData":{"id":501,"type":"article-journal","abstract":"The pace of deforestation worldwide has necessitated the development of strategies that restore forest cover quickly and efﬁciently. We review one potential strategy, applied nucleation, which involves planting small patches of trees as focal areas for recovery. Once planted, these patches, or nuclei, attract dispersers and facilitate establishment of new woody recruits, expanding the forested area over time. Applied nucleation is an attractive option in that it mimics natural successional processes to aid woody plant recolonization. To date, results of experimental tests of applied nucleation are consistent with theoretical predictions and indicate that the density and diversity of colonists is higher in planted nuclei than in areas where no planting takes place (e.g. passive restoration). These studies suggest that the applied nucleation strategy has the potential to restore deforested habitats into heterogeneous canopies with a diverse community composition, while being cheaper than projects that rely on plantation designs. We recommend several areas where research would aid in reﬁning the methodology. We also call for further comparisons as nuclei age beyond the 2–13 years that have been studied, thus far, in order to conﬁrm that practical applications continue to match theoretical predictions. Finally, we suggest that applied nucleation could be effective in the restoration of a variety of habitat types or species guilds beyond the ones to which it has been applied thus far.","container-title":"Forest Ecology and Management","DOI":"10.1016/j.foreco.2011.10.013","ISSN":"03781127","journalAbbreviation":"Forest Ecology and Management","language":"en","page":"37-46","source":"DOI.org (Crossref)","title":"Applied nucleation as a forest restoration strategy","volume":"265","author":[{"family":"Corbin","given":"Jeffrey D."},{"family":"Holl","given":"Karen D."}],"issued":{"date-parts":[["2012",2]]}}}],"schema":"https://github.com/citation-style-language/schema/raw/master/csl-citation.json"} </w:instrText>
      </w:r>
      <w:r>
        <w:fldChar w:fldCharType="separate"/>
      </w:r>
      <w:r w:rsidRPr="00911CB9">
        <w:rPr>
          <w:rFonts w:cs="Times New Roman"/>
        </w:rPr>
        <w:t>(Corbin &amp; Holl, 2012)</w:t>
      </w:r>
      <w:r>
        <w:fldChar w:fldCharType="end"/>
      </w:r>
      <w:r>
        <w:t xml:space="preserve">. While the concept of applied nucleation has been used for above-ground restoration of vegetation, I suggest that scattered EM trees existing within a matrix of AM dominated forest can function as the nucleus from which EM seedlings can establish via isolated EM networks </w:t>
      </w:r>
      <w:r>
        <w:fldChar w:fldCharType="begin"/>
      </w:r>
      <w:r>
        <w:instrText xml:space="preserve"> ADDIN ZOTERO_ITEM CSL_CITATION {"citationID":"Gy9ZQ0th","properties":{"formattedCitation":"(Nara, 2006; Grove {\\i{}et al.}, 2019)","plainCitation":"(Nara, 2006; Grove et al., 2019)","noteIndex":0},"citationItems":[{"id":308,"uris":["http://zotero.org/users/local/Uwl7j5fD/items/GXUM4M5J"],"uri":["http://zotero.org/users/local/Uwl7j5fD/items/GXUM4M5J"],"itemData":{"id":308,"type":"article-journal","abstract":"• Ectomycorrhizal (ECM) fungal mycelia are the main organs for nutrient uptake in many woody plants, and often connect seedlings to mature trees. While it is known that resources are shared among connected plants via common mycorrhizal networks (CMNs), the net effects of CMNs on seedling performance in the field are almost unknown. • CMNs of individual ECM fungal species were produced in an early succession volcanic desert by transplanting current-year seedlings of Salix reinii with ECM mother trees that had been inoculated with one of 11 dominant ECM fungal species. • Most seedlings were connected to individual CMNs without being infected by other ECM fungi. Although control seedlings showed poor growth under severe nutrient competition with larger nonmycorrhizal mother trees, nutrient acquisition and growth of seedlings connected to CMNs were improved with most fungal species. • The positive effects of CMNs on seedling performance were significantly different among ECM fungal species; for example, the maximum difference in seedling nitrogen acquisition was 1 : 5.9. The net effects of individual CMNs in the field and interspecific variation among ECM fungal species are shown.","container-title":"New Phytologist","DOI":"10.1111/j.1469-8137.2005.01545.x","ISSN":"1469-8137","issue":"1","language":"en","page":"169-178","source":"Wiley Online Library","title":"Ectomycorrhizal networks and seedling establishment during early primary succession","volume":"169","author":[{"family":"Nara","given":"Kazuhide"}],"issued":{"date-parts":[["2006"]]}}},{"id":443,"uris":["http://zotero.org/users/local/Uwl7j5fD/items/U39NZPYH"],"uri":["http://zotero.org/users/local/Uwl7j5fD/items/U39NZPYH"],"itemData":{"id":443,"type":"article-journal","abstract":"Reforestation is challenging when timber harvested areas have been degraded, invaded by nonnative species, or are of marginal suitability to begin with. Conifers form mutualistic partnerships with ectomycorrhizal fungi (EMF) to obtain greater access to soil resources, and these partnerships may be especially important in degraded areas. However, timber harvest can impact mycorrhizal fungi by removing or compacting topsoil, removing host plants, and warming and drying the soil. We used a field experiment to evaluate the role of EMF in Douglas-fir reforestation in clearcuts invaded by Cytisus scoparius (Scotch broom) where traditional reforestation approaches have repeatedly failed. We tested how planting distance from intact Douglas-fir forest edges influenced reforestation success and whether inoculation with forest soils can be used to restore EMF relationships. We used an Illumina DNA sequencing approach to measure the abundance, richness and composition of ectomycorrhizal fungi on Douglas-fir roots, and assessed differences in Douglas-fir seedling survival and growth near to and far from forest edges with and without forest soil inoculum. Planting Douglas-fir seedlings near forest edges increased seedling survival, growth, and EMF root colonization. Edge proximity had no effect on EMF richness but did change fungal community composition. Inoculations with forest soil did not increase EMF abundance or richness or change community composition, nor did it improve seedling establishment. With Illumina sequencing, we identified two to three times greater species richness than described in previous edge effects studies. Of the 95 EMF species we identified, 40% of the species occurred on less than 5% of the seedlings. The ability to detect fungi at low abundance may explain why we did not detect differences in EMF richness with distance to hosts as previous studies. Our findings suggest that forest edges are suitable for reforestation, even when the interiors of deforested areas are not. We advocate for timber harvest designs that maximize edge habitat where ectomycorrhizal fungi contribute to tree establishment. However, this study does not support the use of inoculation with forest soil as a simple method to enhance EMF and seedling survival.","container-title":"Ecological Applications","DOI":"10.1002/eap.1867","ISSN":"1051-0761, 1939-5582","issue":"3","journalAbbreviation":"Ecol Appl","language":"en","page":"e01867","source":"DOI.org (Crossref)","title":"Ectomycorrhizas and tree seedling establishment are strongly influenced by forest edge proximity but not soil inoculum","volume":"29","author":[{"family":"Grove","given":"Sara"},{"family":"Saarman","given":"Norah P."},{"family":"Gilbert","given":"Gregory S."},{"family":"Faircloth","given":"Brant"},{"family":"Haubensak","given":"Karen A."},{"family":"Parker","given":"Ingrid M."}],"issued":{"date-parts":[["2019",4]]}}}],"schema":"https://github.com/citation-style-language/schema/raw/master/csl-citation.json"} </w:instrText>
      </w:r>
      <w:r>
        <w:fldChar w:fldCharType="separate"/>
      </w:r>
      <w:r w:rsidRPr="005F2F94">
        <w:rPr>
          <w:rFonts w:cs="Times New Roman"/>
          <w:szCs w:val="24"/>
        </w:rPr>
        <w:t xml:space="preserve">(Nara, 2006; Grove </w:t>
      </w:r>
      <w:r w:rsidRPr="005F2F94">
        <w:rPr>
          <w:rFonts w:cs="Times New Roman"/>
          <w:i/>
          <w:iCs/>
          <w:szCs w:val="24"/>
        </w:rPr>
        <w:t>et al.</w:t>
      </w:r>
      <w:r w:rsidRPr="005F2F94">
        <w:rPr>
          <w:rFonts w:cs="Times New Roman"/>
          <w:szCs w:val="24"/>
        </w:rPr>
        <w:t>, 2019)</w:t>
      </w:r>
      <w:r>
        <w:fldChar w:fldCharType="end"/>
      </w:r>
      <w:r>
        <w:t xml:space="preserve">. In areas completely devoid of EM trees, inoculation with soil from EM dominated forests may be required to ensure successful establishment. By utilizing EM networks and soil propagules from residual forests, the ability to introduce valuable, late successional EM tree species into post-agricultural forests may be enhanced. </w:t>
      </w:r>
    </w:p>
    <w:p w14:paraId="5679DEB8" w14:textId="77777777" w:rsidR="00576D21" w:rsidRDefault="00576D21" w:rsidP="00576D21">
      <w:r>
        <w:t xml:space="preserve">My research is investigating if scattered birch trees may support a greater diversity and abundance of EM fungi compared to the surrounding maple forest, and whether they exert a positive influence on the establishment of different species of tree seedlings. I planted a total of 700 hemlock, pine, and oak seedlings in 20 plots near birch trees and 20 plots in the surrounding maple-dominated forest at the </w:t>
      </w:r>
      <w:proofErr w:type="spellStart"/>
      <w:r>
        <w:t>Mianus</w:t>
      </w:r>
      <w:proofErr w:type="spellEnd"/>
      <w:r>
        <w:t xml:space="preserve"> River Gorge (MRG) in Bedford, New York as well as two additional sites in Central New York. In each plot, half of my seedlings were treated with soil collected from an adjacent hemlock, pine, and/or oak dominated reference forest to reintroduce EM fungus spores into the second-growth forest soils. </w:t>
      </w:r>
      <w:r w:rsidRPr="00CC1B6D">
        <w:rPr>
          <w:color w:val="000000" w:themeColor="text1"/>
        </w:rPr>
        <w:t xml:space="preserve">My results will determine how EM fungal communities are distributed, and whether suitable EM fungi are missing from </w:t>
      </w:r>
      <w:r>
        <w:rPr>
          <w:color w:val="000000" w:themeColor="text1"/>
        </w:rPr>
        <w:t>second-growth</w:t>
      </w:r>
      <w:r w:rsidRPr="00CC1B6D">
        <w:rPr>
          <w:color w:val="000000" w:themeColor="text1"/>
        </w:rPr>
        <w:t xml:space="preserve"> forests. </w:t>
      </w:r>
      <w:r>
        <w:t xml:space="preserve">This will be determined through measurements of survivorship and growth of my planted seedlings as well as the DNA-based identification of EM fungi from their roots. My results will provide guidance for the restoration of pre-agriculture forest composition, which is a mission of MRG. </w:t>
      </w:r>
    </w:p>
    <w:p w14:paraId="2CF95653" w14:textId="36BF0C6D" w:rsidR="00326738" w:rsidRDefault="00576D21">
      <w:pPr>
        <w:rPr>
          <w:b/>
          <w:bCs/>
        </w:rPr>
      </w:pPr>
      <w:r>
        <w:rPr>
          <w:b/>
          <w:bCs/>
        </w:rPr>
        <w:t>WORK COMPLETED</w:t>
      </w:r>
    </w:p>
    <w:p w14:paraId="52A7A832" w14:textId="33F2B2EF" w:rsidR="00037CE2" w:rsidRDefault="005F01B8">
      <w:r>
        <w:t>Funding</w:t>
      </w:r>
      <w:r w:rsidR="00576D21">
        <w:t xml:space="preserve"> provided by the Edna Bailey Sussman Foundation </w:t>
      </w:r>
      <w:r>
        <w:t>supported</w:t>
      </w:r>
      <w:r w:rsidR="00576D21">
        <w:t xml:space="preserve"> my summer 2021 field </w:t>
      </w:r>
      <w:r>
        <w:t xml:space="preserve">and laboratory </w:t>
      </w:r>
      <w:r w:rsidR="00576D21">
        <w:t>work. Over the summer, I monitored seedlings at all three of my field sites and was able to measure monthly survival</w:t>
      </w:r>
      <w:r>
        <w:t xml:space="preserve">, </w:t>
      </w:r>
      <w:r w:rsidR="008D7B03">
        <w:t xml:space="preserve">conduct </w:t>
      </w:r>
      <w:r>
        <w:t>routine maintenance</w:t>
      </w:r>
      <w:r w:rsidR="00ED4DCC">
        <w:t>,</w:t>
      </w:r>
      <w:r w:rsidR="00576D21">
        <w:t xml:space="preserve"> as well as </w:t>
      </w:r>
      <w:r w:rsidR="008D7B03">
        <w:t xml:space="preserve">collect </w:t>
      </w:r>
      <w:r w:rsidR="00576D21">
        <w:t>an annual light measurement at each of my forty plots.</w:t>
      </w:r>
      <w:r w:rsidR="008D7B03">
        <w:t xml:space="preserve"> I also measured</w:t>
      </w:r>
      <w:r w:rsidR="00ED4DCC">
        <w:t xml:space="preserve"> and mapped</w:t>
      </w:r>
      <w:r w:rsidR="008D7B03">
        <w:t xml:space="preserve"> every tree and sapling in a 15 m radius from 8 plots at one of my Central New York field sites.</w:t>
      </w:r>
      <w:r w:rsidR="00576D21">
        <w:t xml:space="preserve"> At the end of the growing season, I also measured</w:t>
      </w:r>
      <w:r>
        <w:t xml:space="preserve"> seedling</w:t>
      </w:r>
      <w:r w:rsidR="00576D21">
        <w:t xml:space="preserve"> height</w:t>
      </w:r>
      <w:r>
        <w:t>s</w:t>
      </w:r>
      <w:r w:rsidR="00576D21">
        <w:t xml:space="preserve"> </w:t>
      </w:r>
      <w:r>
        <w:t>at</w:t>
      </w:r>
      <w:r w:rsidR="00576D21">
        <w:t xml:space="preserve"> </w:t>
      </w:r>
      <w:r>
        <w:t>every</w:t>
      </w:r>
      <w:r w:rsidR="00576D21">
        <w:t xml:space="preserve"> plot. </w:t>
      </w:r>
      <w:r>
        <w:t>Funding also allowed me to harvest and process all</w:t>
      </w:r>
      <w:r w:rsidR="00FC00A1">
        <w:t xml:space="preserve"> 161 surviving</w:t>
      </w:r>
      <w:r>
        <w:t xml:space="preserve"> seedlings from </w:t>
      </w:r>
      <w:r w:rsidR="008D7B03">
        <w:t xml:space="preserve">the 16 plots at </w:t>
      </w:r>
      <w:r>
        <w:t xml:space="preserve">MRG. Seedling shoots were dried and weighed and foliage was prepared for nutrient analysis. </w:t>
      </w:r>
      <w:r w:rsidR="00FC00A1">
        <w:t>Oak seedlings had images and weights of leaves taken to calculate specific leaf area, which is a physiological response to biotic and abiotic conditions</w:t>
      </w:r>
      <w:r w:rsidR="009411BC">
        <w:t xml:space="preserve"> (Figure 1)</w:t>
      </w:r>
      <w:r w:rsidR="00FC00A1">
        <w:t>. Root systems were assessed for colonization by ectomycorrhizal fungi</w:t>
      </w:r>
      <w:r w:rsidR="009411BC">
        <w:t xml:space="preserve"> (Figure 2)</w:t>
      </w:r>
      <w:r w:rsidR="00FC00A1">
        <w:t xml:space="preserve">, in which individual root tips were determined to either mycorrhizal or non-mycorrhizal. Each mycorrhizal root tip was counted and separated by morphological type </w:t>
      </w:r>
      <w:r w:rsidR="0021502C">
        <w:t xml:space="preserve">(Figure 3) </w:t>
      </w:r>
      <w:r w:rsidR="00FC00A1">
        <w:t>and then preserved in DNA buffer for molecular analysis</w:t>
      </w:r>
      <w:r w:rsidR="008D7B03">
        <w:t xml:space="preserve"> to be conducted in winter/spring 2022</w:t>
      </w:r>
      <w:r w:rsidR="00FC00A1">
        <w:t xml:space="preserve">. </w:t>
      </w:r>
    </w:p>
    <w:p w14:paraId="5A4C7D0D" w14:textId="7DDE9633" w:rsidR="00576D21" w:rsidRDefault="00037CE2" w:rsidP="009411BC">
      <w:pPr>
        <w:jc w:val="center"/>
      </w:pPr>
      <w:r>
        <w:rPr>
          <w:noProof/>
        </w:rPr>
        <w:drawing>
          <wp:inline distT="0" distB="0" distL="0" distR="0" wp14:anchorId="5760ACFF" wp14:editId="31D3240F">
            <wp:extent cx="3413125" cy="3056489"/>
            <wp:effectExtent l="6985" t="0" r="3810" b="3810"/>
            <wp:docPr id="3" name="Picture 3" descr="A picture containing tex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gear&#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9997" t="6350" r="11569"/>
                    <a:stretch/>
                  </pic:blipFill>
                  <pic:spPr bwMode="auto">
                    <a:xfrm rot="5400000">
                      <a:off x="0" y="0"/>
                      <a:ext cx="3415923" cy="3058995"/>
                    </a:xfrm>
                    <a:prstGeom prst="rect">
                      <a:avLst/>
                    </a:prstGeom>
                    <a:noFill/>
                    <a:ln>
                      <a:noFill/>
                    </a:ln>
                    <a:extLst>
                      <a:ext uri="{53640926-AAD7-44D8-BBD7-CCE9431645EC}">
                        <a14:shadowObscured xmlns:a14="http://schemas.microsoft.com/office/drawing/2010/main"/>
                      </a:ext>
                    </a:extLst>
                  </pic:spPr>
                </pic:pic>
              </a:graphicData>
            </a:graphic>
          </wp:inline>
        </w:drawing>
      </w:r>
    </w:p>
    <w:p w14:paraId="510CA8FC" w14:textId="3CDB6336" w:rsidR="009411BC" w:rsidRDefault="00037CE2">
      <w:r>
        <w:t>Figure 1</w:t>
      </w:r>
      <w:r w:rsidR="009411BC">
        <w:t>.</w:t>
      </w:r>
      <w:r>
        <w:t xml:space="preserve"> Image of oak (</w:t>
      </w:r>
      <w:r>
        <w:rPr>
          <w:i/>
          <w:iCs/>
        </w:rPr>
        <w:t xml:space="preserve">Quercus </w:t>
      </w:r>
      <w:proofErr w:type="spellStart"/>
      <w:r>
        <w:rPr>
          <w:i/>
          <w:iCs/>
        </w:rPr>
        <w:t>montana</w:t>
      </w:r>
      <w:proofErr w:type="spellEnd"/>
      <w:r>
        <w:t>) leaves</w:t>
      </w:r>
      <w:r w:rsidR="009411BC">
        <w:t xml:space="preserve"> used</w:t>
      </w:r>
      <w:r>
        <w:t xml:space="preserve"> for measurement of specific leaf area</w:t>
      </w:r>
      <w:r w:rsidR="009411BC">
        <w:t xml:space="preserve">. Leaf area will be measured using image analysis software. </w:t>
      </w:r>
      <w:r>
        <w:t xml:space="preserve"> </w:t>
      </w:r>
    </w:p>
    <w:p w14:paraId="5525FD38" w14:textId="0C1B2593" w:rsidR="009411BC" w:rsidRDefault="009411BC" w:rsidP="009411BC">
      <w:pPr>
        <w:jc w:val="center"/>
      </w:pPr>
      <w:r>
        <w:rPr>
          <w:noProof/>
        </w:rPr>
        <w:drawing>
          <wp:inline distT="0" distB="0" distL="0" distR="0" wp14:anchorId="603C7CA7" wp14:editId="4B9AA4DD">
            <wp:extent cx="2833687" cy="2727960"/>
            <wp:effectExtent l="0" t="4445" r="635" b="635"/>
            <wp:docPr id="5" name="Picture 5" descr="A picture containing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ableware&#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608" r="6486"/>
                    <a:stretch/>
                  </pic:blipFill>
                  <pic:spPr bwMode="auto">
                    <a:xfrm rot="5400000">
                      <a:off x="0" y="0"/>
                      <a:ext cx="2833687" cy="2727960"/>
                    </a:xfrm>
                    <a:prstGeom prst="rect">
                      <a:avLst/>
                    </a:prstGeom>
                    <a:noFill/>
                    <a:ln>
                      <a:noFill/>
                    </a:ln>
                    <a:extLst>
                      <a:ext uri="{53640926-AAD7-44D8-BBD7-CCE9431645EC}">
                        <a14:shadowObscured xmlns:a14="http://schemas.microsoft.com/office/drawing/2010/main"/>
                      </a:ext>
                    </a:extLst>
                  </pic:spPr>
                </pic:pic>
              </a:graphicData>
            </a:graphic>
          </wp:inline>
        </w:drawing>
      </w:r>
    </w:p>
    <w:p w14:paraId="087D2EE1" w14:textId="00C7374C" w:rsidR="009411BC" w:rsidRDefault="009411BC" w:rsidP="009411BC">
      <w:r>
        <w:t>Figure 2. Eastern hemlock seedling (</w:t>
      </w:r>
      <w:r>
        <w:rPr>
          <w:i/>
          <w:iCs/>
        </w:rPr>
        <w:t>Tsuga canadensis</w:t>
      </w:r>
      <w:r>
        <w:t>) prepared for assessment of ectomycorrhizal colonization under dissecting microscope</w:t>
      </w:r>
    </w:p>
    <w:p w14:paraId="75A1021F" w14:textId="77777777" w:rsidR="0021502C" w:rsidRPr="009411BC" w:rsidRDefault="0021502C" w:rsidP="009411BC"/>
    <w:p w14:paraId="43DDF943" w14:textId="3E8606FF" w:rsidR="009411BC" w:rsidRDefault="0021502C" w:rsidP="009411BC">
      <w:pPr>
        <w:jc w:val="center"/>
      </w:pPr>
      <w:r>
        <w:rPr>
          <w:noProof/>
        </w:rPr>
        <mc:AlternateContent>
          <mc:Choice Requires="wps">
            <w:drawing>
              <wp:anchor distT="0" distB="0" distL="114300" distR="114300" simplePos="0" relativeHeight="251663360" behindDoc="0" locked="0" layoutInCell="1" allowOverlap="1" wp14:anchorId="36C74392" wp14:editId="6DF4C51B">
                <wp:simplePos x="0" y="0"/>
                <wp:positionH relativeFrom="column">
                  <wp:posOffset>4034790</wp:posOffset>
                </wp:positionH>
                <wp:positionV relativeFrom="paragraph">
                  <wp:posOffset>1510665</wp:posOffset>
                </wp:positionV>
                <wp:extent cx="76200" cy="316230"/>
                <wp:effectExtent l="57150" t="0" r="19050" b="64770"/>
                <wp:wrapNone/>
                <wp:docPr id="8" name="Straight Arrow Connector 8"/>
                <wp:cNvGraphicFramePr/>
                <a:graphic xmlns:a="http://schemas.openxmlformats.org/drawingml/2006/main">
                  <a:graphicData uri="http://schemas.microsoft.com/office/word/2010/wordprocessingShape">
                    <wps:wsp>
                      <wps:cNvCnPr/>
                      <wps:spPr>
                        <a:xfrm flipH="1">
                          <a:off x="0" y="0"/>
                          <a:ext cx="76200" cy="3162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B4A82F" id="_x0000_t32" coordsize="21600,21600" o:spt="32" o:oned="t" path="m,l21600,21600e" filled="f">
                <v:path arrowok="t" fillok="f" o:connecttype="none"/>
                <o:lock v:ext="edit" shapetype="t"/>
              </v:shapetype>
              <v:shape id="Straight Arrow Connector 8" o:spid="_x0000_s1026" type="#_x0000_t32" style="position:absolute;margin-left:317.7pt;margin-top:118.95pt;width:6pt;height:24.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" strokecolor="#4472c4 [3204]"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5FC5361C" wp14:editId="071B5484">
                <wp:simplePos x="0" y="0"/>
                <wp:positionH relativeFrom="column">
                  <wp:posOffset>3204210</wp:posOffset>
                </wp:positionH>
                <wp:positionV relativeFrom="paragraph">
                  <wp:posOffset>779145</wp:posOffset>
                </wp:positionV>
                <wp:extent cx="76200" cy="316230"/>
                <wp:effectExtent l="57150" t="0" r="19050" b="64770"/>
                <wp:wrapNone/>
                <wp:docPr id="7" name="Straight Arrow Connector 7"/>
                <wp:cNvGraphicFramePr/>
                <a:graphic xmlns:a="http://schemas.openxmlformats.org/drawingml/2006/main">
                  <a:graphicData uri="http://schemas.microsoft.com/office/word/2010/wordprocessingShape">
                    <wps:wsp>
                      <wps:cNvCnPr/>
                      <wps:spPr>
                        <a:xfrm flipH="1">
                          <a:off x="0" y="0"/>
                          <a:ext cx="76200" cy="3162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963927" id="Straight Arrow Connector 7" o:spid="_x0000_s1026" type="#_x0000_t32" style="position:absolute;margin-left:252.3pt;margin-top:61.35pt;width:6pt;height:24.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" strokecolor="#4472c4 [3204]"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46E3F4AA" wp14:editId="623A8688">
                <wp:simplePos x="0" y="0"/>
                <wp:positionH relativeFrom="column">
                  <wp:posOffset>2537460</wp:posOffset>
                </wp:positionH>
                <wp:positionV relativeFrom="paragraph">
                  <wp:posOffset>882015</wp:posOffset>
                </wp:positionV>
                <wp:extent cx="76200" cy="316230"/>
                <wp:effectExtent l="57150" t="0" r="19050" b="64770"/>
                <wp:wrapNone/>
                <wp:docPr id="6" name="Straight Arrow Connector 6"/>
                <wp:cNvGraphicFramePr/>
                <a:graphic xmlns:a="http://schemas.openxmlformats.org/drawingml/2006/main">
                  <a:graphicData uri="http://schemas.microsoft.com/office/word/2010/wordprocessingShape">
                    <wps:wsp>
                      <wps:cNvCnPr/>
                      <wps:spPr>
                        <a:xfrm flipH="1">
                          <a:off x="0" y="0"/>
                          <a:ext cx="76200" cy="31623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DFCCF0" id="Straight Arrow Connector 6" o:spid="_x0000_s1026" type="#_x0000_t32" style="position:absolute;margin-left:199.8pt;margin-top:69.45pt;width:6pt;height:24.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" strokecolor="#ed7d31 [3205]" strokeweight=".5pt">
                <v:stroke endarrow="block" joinstyle="miter"/>
              </v:shape>
            </w:pict>
          </mc:Fallback>
        </mc:AlternateContent>
      </w:r>
      <w:r w:rsidR="009411BC">
        <w:rPr>
          <w:noProof/>
        </w:rPr>
        <w:drawing>
          <wp:inline distT="0" distB="0" distL="0" distR="0" wp14:anchorId="08A6050B" wp14:editId="15456946">
            <wp:extent cx="2682587" cy="2807942"/>
            <wp:effectExtent l="0" t="5398"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027" t="4273" r="25384"/>
                    <a:stretch/>
                  </pic:blipFill>
                  <pic:spPr bwMode="auto">
                    <a:xfrm rot="5400000">
                      <a:off x="0" y="0"/>
                      <a:ext cx="2685171" cy="2810647"/>
                    </a:xfrm>
                    <a:prstGeom prst="rect">
                      <a:avLst/>
                    </a:prstGeom>
                    <a:noFill/>
                    <a:ln>
                      <a:noFill/>
                    </a:ln>
                    <a:extLst>
                      <a:ext uri="{53640926-AAD7-44D8-BBD7-CCE9431645EC}">
                        <a14:shadowObscured xmlns:a14="http://schemas.microsoft.com/office/drawing/2010/main"/>
                      </a:ext>
                    </a:extLst>
                  </pic:spPr>
                </pic:pic>
              </a:graphicData>
            </a:graphic>
          </wp:inline>
        </w:drawing>
      </w:r>
    </w:p>
    <w:p w14:paraId="1A8FCB3D" w14:textId="6D797668" w:rsidR="0021502C" w:rsidRPr="0021502C" w:rsidRDefault="0021502C" w:rsidP="0021502C">
      <w:r>
        <w:t>Figure 3. Examples of ectomycorrhizal root tips on eastern hemlock (</w:t>
      </w:r>
      <w:r>
        <w:rPr>
          <w:i/>
          <w:iCs/>
        </w:rPr>
        <w:t>Tsuga canadensis</w:t>
      </w:r>
      <w:r>
        <w:t>) that were preserved for DNA analysis</w:t>
      </w:r>
    </w:p>
    <w:p w14:paraId="36881E2B" w14:textId="1FE86BD6" w:rsidR="00ED4DCC" w:rsidRDefault="00ED4DCC">
      <w:pPr>
        <w:rPr>
          <w:b/>
          <w:bCs/>
        </w:rPr>
      </w:pPr>
      <w:r>
        <w:rPr>
          <w:b/>
          <w:bCs/>
        </w:rPr>
        <w:t>CONCLUSIONS</w:t>
      </w:r>
    </w:p>
    <w:p w14:paraId="327DB3F4" w14:textId="1836C4FE" w:rsidR="00ED4DCC" w:rsidRDefault="00AE38EA">
      <w:r>
        <w:t>This project has provided me with invaluable experience planning and conducting a field experiment at multiple sites and collaborating with private and public land managers. While I am still in the process of entering, curating, and analyzing data, I am confident that my experiment will yield</w:t>
      </w:r>
      <w:r w:rsidR="000828E2">
        <w:t xml:space="preserve"> novel</w:t>
      </w:r>
      <w:r>
        <w:t xml:space="preserve"> results</w:t>
      </w:r>
      <w:r w:rsidR="000828E2">
        <w:t>. Empirical observation of my seedlings and their root systems suggests that isolated birch trees can support a greater abundance of mycorrhizal fungi compared to the rest of the maple-dominated forest. My results will</w:t>
      </w:r>
      <w:r>
        <w:t xml:space="preserve"> enhance the knowledge of </w:t>
      </w:r>
      <w:r w:rsidR="000828E2">
        <w:t xml:space="preserve">basic </w:t>
      </w:r>
      <w:r>
        <w:t xml:space="preserve">fungal ecology </w:t>
      </w:r>
      <w:r w:rsidR="000828E2">
        <w:t>and will</w:t>
      </w:r>
      <w:r>
        <w:t xml:space="preserve"> provide information critical for the restoration of pre</w:t>
      </w:r>
      <w:r w:rsidR="000828E2">
        <w:t>-</w:t>
      </w:r>
      <w:r>
        <w:t xml:space="preserve">settlement forest composition </w:t>
      </w:r>
      <w:r w:rsidR="000828E2">
        <w:t>in post-agricultural forests.</w:t>
      </w:r>
    </w:p>
    <w:p w14:paraId="082FF102" w14:textId="086BB49B" w:rsidR="000828E2" w:rsidRPr="000828E2" w:rsidRDefault="000828E2">
      <w:pPr>
        <w:rPr>
          <w:b/>
          <w:bCs/>
        </w:rPr>
      </w:pPr>
      <w:r w:rsidRPr="000828E2">
        <w:rPr>
          <w:b/>
          <w:bCs/>
        </w:rPr>
        <w:t>ACKNOWLEDGEMENTS</w:t>
      </w:r>
    </w:p>
    <w:p w14:paraId="26FC5BAD" w14:textId="6C5B8283" w:rsidR="000828E2" w:rsidRPr="00AE38EA" w:rsidRDefault="000828E2">
      <w:r>
        <w:t>My project would not have been made possible without funding from the Edna Bailey Sussman Foundation, as well as the M</w:t>
      </w:r>
      <w:r w:rsidR="00037CE2">
        <w:t xml:space="preserve">RG </w:t>
      </w:r>
      <w:r>
        <w:t xml:space="preserve">RAP fellowship, </w:t>
      </w:r>
      <w:r w:rsidR="00037CE2">
        <w:t xml:space="preserve">and Lowe-Wilcox awards. I am also grateful for the staff at MRG, NYS DEC, and Heiberg Memorial </w:t>
      </w:r>
      <w:r w:rsidR="004D1010">
        <w:t>F</w:t>
      </w:r>
      <w:r w:rsidR="00037CE2">
        <w:t xml:space="preserve">orest for their support. Lastly, I am indebted to my steering committee for valuable feedback for experimental design and numerous friends and undergraduate students for assistance in the field and laboratory. </w:t>
      </w:r>
    </w:p>
    <w:sectPr w:rsidR="000828E2" w:rsidRPr="00AE3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1B"/>
    <w:rsid w:val="00037CE2"/>
    <w:rsid w:val="000828E2"/>
    <w:rsid w:val="0021502C"/>
    <w:rsid w:val="00326738"/>
    <w:rsid w:val="004D1010"/>
    <w:rsid w:val="00576D21"/>
    <w:rsid w:val="005F01B8"/>
    <w:rsid w:val="007268F7"/>
    <w:rsid w:val="008D7B03"/>
    <w:rsid w:val="009411BC"/>
    <w:rsid w:val="00AE38EA"/>
    <w:rsid w:val="00C1171B"/>
    <w:rsid w:val="00ED4DCC"/>
    <w:rsid w:val="00F76204"/>
    <w:rsid w:val="00FC0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103B5"/>
  <w15:chartTrackingRefBased/>
  <w15:docId w15:val="{8A3AEA10-A34C-45FC-B5FD-9ECD913D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71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8F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10430</Words>
  <Characters>59452</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Michael Cortese</dc:creator>
  <cp:keywords/>
  <dc:description/>
  <cp:lastModifiedBy>Andrew Michael Cortese</cp:lastModifiedBy>
  <cp:revision>1</cp:revision>
  <dcterms:created xsi:type="dcterms:W3CDTF">2021-12-01T13:50:00Z</dcterms:created>
  <dcterms:modified xsi:type="dcterms:W3CDTF">2021-12-01T15:18:00Z</dcterms:modified>
</cp:coreProperties>
</file>