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7CE1" w14:textId="168183FD" w:rsidR="00BA4B65" w:rsidRDefault="00BA4B65" w:rsidP="00BA4B65">
      <w:pPr>
        <w:jc w:val="center"/>
        <w:rPr>
          <w:color w:val="000000" w:themeColor="text1"/>
          <w:sz w:val="28"/>
          <w:szCs w:val="28"/>
        </w:rPr>
      </w:pPr>
      <w:r w:rsidRPr="00AA4CFA">
        <w:rPr>
          <w:color w:val="000000" w:themeColor="text1"/>
          <w:sz w:val="28"/>
          <w:szCs w:val="28"/>
        </w:rPr>
        <w:t>COMPARISONS OF MORPHOLOGY AND FEEDING EFFICIENCY BETWEEN WILD AND GAME-FARM MALLARDS</w:t>
      </w:r>
    </w:p>
    <w:p w14:paraId="01B13D62" w14:textId="77777777" w:rsidR="00575B91" w:rsidRPr="00183428" w:rsidRDefault="00575B91" w:rsidP="00BA4B65">
      <w:pPr>
        <w:jc w:val="center"/>
        <w:rPr>
          <w:b/>
        </w:rPr>
      </w:pPr>
    </w:p>
    <w:p w14:paraId="1FAEAD17" w14:textId="1E320F74" w:rsidR="00BA4B65" w:rsidRPr="00183428" w:rsidRDefault="00BA4B65" w:rsidP="00BA4B65">
      <w:pPr>
        <w:jc w:val="center"/>
      </w:pPr>
      <w:r>
        <w:t>Susannah L. Halligan</w:t>
      </w:r>
    </w:p>
    <w:p w14:paraId="0B330DAC" w14:textId="77777777" w:rsidR="00BA4B65" w:rsidRPr="00183428" w:rsidRDefault="00BA4B65" w:rsidP="00BA4B65">
      <w:pPr>
        <w:jc w:val="center"/>
      </w:pPr>
      <w:r w:rsidRPr="00183428">
        <w:t>SUNY College of Environmental Science and Forestry</w:t>
      </w:r>
    </w:p>
    <w:p w14:paraId="40A02972" w14:textId="77777777" w:rsidR="00BA4B65" w:rsidRPr="00183428" w:rsidRDefault="00BA4B65" w:rsidP="00BA4B65">
      <w:pPr>
        <w:jc w:val="center"/>
      </w:pPr>
      <w:r w:rsidRPr="00183428">
        <w:t>Final Report to the Edna Bailey Sussman Foundation</w:t>
      </w:r>
    </w:p>
    <w:p w14:paraId="5B62C976" w14:textId="4A0C2A7D" w:rsidR="00BA4B65" w:rsidRDefault="00BA4B65" w:rsidP="00BA4B65">
      <w:pPr>
        <w:jc w:val="center"/>
      </w:pPr>
      <w:r w:rsidRPr="00183428">
        <w:t>20</w:t>
      </w:r>
      <w:r>
        <w:t>22</w:t>
      </w:r>
    </w:p>
    <w:p w14:paraId="4CABD463" w14:textId="55442273" w:rsidR="000E4E97" w:rsidRDefault="000E4E97"/>
    <w:p w14:paraId="0CAB90D6" w14:textId="4F9C6660" w:rsidR="00BA4B65" w:rsidRDefault="00BD4AF5" w:rsidP="00BA4B65">
      <w:pPr>
        <w:rPr>
          <w:b/>
          <w:bCs/>
        </w:rPr>
      </w:pPr>
      <w:r>
        <w:rPr>
          <w:b/>
          <w:bCs/>
        </w:rPr>
        <w:t>INTRODUCTION</w:t>
      </w:r>
    </w:p>
    <w:p w14:paraId="3E105B0D" w14:textId="77777777" w:rsidR="00BD4AF5" w:rsidRPr="00746C0B" w:rsidRDefault="00BD4AF5" w:rsidP="00BA4B65">
      <w:pPr>
        <w:rPr>
          <w:b/>
          <w:bCs/>
        </w:rPr>
      </w:pPr>
    </w:p>
    <w:p w14:paraId="7320FAF2" w14:textId="79EDCCAA" w:rsidR="00BA4B65" w:rsidRPr="00A25460" w:rsidRDefault="00BA4B65" w:rsidP="00BA4B65">
      <w:pPr>
        <w:ind w:firstLine="720"/>
        <w:rPr>
          <w:color w:val="000000" w:themeColor="text1"/>
        </w:rPr>
      </w:pPr>
      <w:r w:rsidRPr="00A25460">
        <w:rPr>
          <w:color w:val="000000" w:themeColor="text1"/>
        </w:rPr>
        <w:t>The mallard (</w:t>
      </w:r>
      <w:r w:rsidRPr="00A25460">
        <w:rPr>
          <w:i/>
          <w:color w:val="000000" w:themeColor="text1"/>
        </w:rPr>
        <w:t>Anas platyrhynchos)</w:t>
      </w:r>
      <w:r w:rsidRPr="00A25460">
        <w:rPr>
          <w:color w:val="000000" w:themeColor="text1"/>
        </w:rPr>
        <w:t xml:space="preserve"> is a dabbling duck </w:t>
      </w:r>
      <w:r>
        <w:rPr>
          <w:color w:val="000000" w:themeColor="text1"/>
        </w:rPr>
        <w:t>endemic</w:t>
      </w:r>
      <w:r w:rsidRPr="00A25460">
        <w:rPr>
          <w:color w:val="000000" w:themeColor="text1"/>
        </w:rPr>
        <w:t xml:space="preserve"> to Eurasia and North America and </w:t>
      </w:r>
      <w:r>
        <w:rPr>
          <w:color w:val="000000" w:themeColor="text1"/>
        </w:rPr>
        <w:t>is</w:t>
      </w:r>
      <w:r w:rsidRPr="00A25460">
        <w:rPr>
          <w:color w:val="000000" w:themeColor="text1"/>
        </w:rPr>
        <w:t xml:space="preserve"> the most globally widespread waterfowl </w:t>
      </w:r>
      <w:r>
        <w:rPr>
          <w:color w:val="000000" w:themeColor="text1"/>
        </w:rPr>
        <w:fldChar w:fldCharType="begin"/>
      </w:r>
      <w:r>
        <w:rPr>
          <w:color w:val="000000" w:themeColor="text1"/>
        </w:rPr>
        <w:instrText xml:space="preserve"> ADDIN ZOTERO_ITEM CSL_CITATION {"citationID":"vApggt4g","properties":{"formattedCitation":"(Baldassarre 2014)","plainCitation":"(Baldassarre 2014)","noteIndex":0},"citationItems":[{"id":56,"uris":["http://zotero.org/users/local/qFeOLOrx/items/PFDZ34ZM"],"itemData":{"id":56,"type":"book","abstract":"Ducks, Geese, and Swans of North America has been hailed as a classic since the first edition was published in 1942. A must-have for professional biologists, birders, waterfowl hunters, decoy collectors, and wildlife managers, this fully revised and updated edition provides definitive information on the continent's forty-six species. Maps of both winter and breeding ranges are presented with stunning images by top waterfowl photographers and the acclaimed original artwork of Robert W. (Bob) Hines. Originally authored by F. H. Kortright and later revised by Frank Bellrose, this latest edition, which has been meticulously updated by renowned waterfowl biologist Guy Baldassarre, continues the legacy of esteemed authors. Each species account contains in-depth sections on: • identification• distribution• migration behavior• habitat• population status• breeding biology• rearing of young• recruitment and survival• food habits and feeding ecology • molts and plumages• conservation and management To facilitate identification, the species accounts also include detailed illustrations of wings. An appendix contains comparative illustrations of ducklings, goslings, and cygnets.This edition of Ducks, Geese, and Swans consists of two volumes, printed in full color, and packaged in a slipcase, along with a CD containing references and additional maps.","ISBN":"978-1-4214-0808-8","language":"en","note":"Google-Books-ID: SiuhBQAAQBAJ","number-of-pages":"1183","publisher":"JHU Press","source":"Google Books","title":"Ducks, Geese, and Swans of North America","author":[{"family":"Baldassarre","given":"Guy"}],"issued":{"date-parts":[["2014",11,15]]}}}],"schema":"https://github.com/citation-style-language/schema/raw/master/csl-citation.json"} </w:instrText>
      </w:r>
      <w:r>
        <w:rPr>
          <w:color w:val="000000" w:themeColor="text1"/>
        </w:rPr>
        <w:fldChar w:fldCharType="separate"/>
      </w:r>
      <w:r>
        <w:rPr>
          <w:noProof/>
          <w:color w:val="000000" w:themeColor="text1"/>
        </w:rPr>
        <w:t>(Baldassarre 2014)</w:t>
      </w:r>
      <w:r>
        <w:rPr>
          <w:color w:val="000000" w:themeColor="text1"/>
        </w:rPr>
        <w:fldChar w:fldCharType="end"/>
      </w:r>
      <w:r w:rsidRPr="00A25460">
        <w:rPr>
          <w:color w:val="000000" w:themeColor="text1"/>
        </w:rPr>
        <w:t xml:space="preserve">. Of all ducks, </w:t>
      </w:r>
      <w:r>
        <w:rPr>
          <w:color w:val="000000" w:themeColor="text1"/>
        </w:rPr>
        <w:t>mallards</w:t>
      </w:r>
      <w:r w:rsidRPr="00A25460">
        <w:rPr>
          <w:color w:val="000000" w:themeColor="text1"/>
        </w:rPr>
        <w:t xml:space="preserve"> are the most abundant and studied in the world </w:t>
      </w:r>
      <w:r>
        <w:rPr>
          <w:color w:val="000000" w:themeColor="text1"/>
        </w:rPr>
        <w:fldChar w:fldCharType="begin"/>
      </w:r>
      <w:r>
        <w:rPr>
          <w:color w:val="000000" w:themeColor="text1"/>
        </w:rPr>
        <w:instrText xml:space="preserve"> ADDIN ZOTERO_ITEM CSL_CITATION {"citationID":"R770Dea0","properties":{"formattedCitation":"(Miller 1975)","plainCitation":"(Miller 1975)","noteIndex":0},"citationItems":[{"id":44,"uris":["http://zotero.org/users/local/qFeOLOrx/items/DUBRLEE9"],"itemData":{"id":44,"type":"article-journal","abstract":"Digestive organ lengths, weights, and volumes in each of three groups of mallards (Anas platyrhynchos) were determined at the end of a 21-day period, during which one group was fed turkey starter (control diet), another group was fed whole corn (low fiber content), and the third group was fed alfalfa pellets (high fiber content) to demonstrate the adaptive efficiency of the waterfowl gut to diets of varying quality. Food consumption by the alfalfa-fed ducks was significantly greater (P &lt; 0.01) than the other two groups. All digestive organs of the alfalfa-fed ducks were significantly larger (P &lt; 0.01) than those of the corn- and turkey starter-fed ducks at the end of the study. It is concluded that mallards can adapt rapidly to fibrous, relatively indigestible foods. This ability may have survival value when higher quality foods are unavailable or when food habits change rapidly during migrations.","container-title":"The Journal of Wildlife Management","DOI":"10.2307/3800481","ISSN":"0022-541X","issue":"1","note":"publisher: [Wiley, Wildlife Society]","page":"168-173","source":"JSTOR","title":"Gut Morphology of Mallards in Relation to Diet Quality","volume":"39","author":[{"family":"Miller","given":"Michael R."}],"issued":{"date-parts":[["1975"]]}}}],"schema":"https://github.com/citation-style-language/schema/raw/master/csl-citation.json"} </w:instrText>
      </w:r>
      <w:r>
        <w:rPr>
          <w:color w:val="000000" w:themeColor="text1"/>
        </w:rPr>
        <w:fldChar w:fldCharType="separate"/>
      </w:r>
      <w:r>
        <w:rPr>
          <w:noProof/>
          <w:color w:val="000000" w:themeColor="text1"/>
        </w:rPr>
        <w:t>(Miller 1975)</w:t>
      </w:r>
      <w:r>
        <w:rPr>
          <w:color w:val="000000" w:themeColor="text1"/>
        </w:rPr>
        <w:fldChar w:fldCharType="end"/>
      </w:r>
      <w:r w:rsidRPr="00A25460">
        <w:rPr>
          <w:color w:val="000000" w:themeColor="text1"/>
        </w:rPr>
        <w:t>.</w:t>
      </w:r>
      <w:r>
        <w:rPr>
          <w:color w:val="000000" w:themeColor="text1"/>
        </w:rPr>
        <w:t xml:space="preserve"> Mallards have been documented in the Atlantic Flyway as early as 1587 by French colon</w:t>
      </w:r>
      <w:r w:rsidRPr="001E35FE">
        <w:rPr>
          <w:color w:val="000000" w:themeColor="text1"/>
        </w:rPr>
        <w:t xml:space="preserve">ist </w:t>
      </w:r>
      <w:r w:rsidRPr="00AD4CFD">
        <w:rPr>
          <w:color w:val="000000" w:themeColor="text1"/>
          <w:shd w:val="clear" w:color="auto" w:fill="FFFFFF"/>
        </w:rPr>
        <w:t xml:space="preserve">René </w:t>
      </w:r>
      <w:proofErr w:type="spellStart"/>
      <w:r w:rsidRPr="00AD4CFD">
        <w:rPr>
          <w:color w:val="000000" w:themeColor="text1"/>
          <w:shd w:val="clear" w:color="auto" w:fill="FFFFFF"/>
        </w:rPr>
        <w:t>Goulaine</w:t>
      </w:r>
      <w:proofErr w:type="spellEnd"/>
      <w:r w:rsidRPr="00AD4CFD">
        <w:rPr>
          <w:color w:val="000000" w:themeColor="text1"/>
          <w:shd w:val="clear" w:color="auto" w:fill="FFFFFF"/>
        </w:rPr>
        <w:t xml:space="preserve"> de </w:t>
      </w:r>
      <w:proofErr w:type="spellStart"/>
      <w:r w:rsidRPr="00AD4CFD">
        <w:rPr>
          <w:color w:val="000000" w:themeColor="text1"/>
          <w:shd w:val="clear" w:color="auto" w:fill="FFFFFF"/>
        </w:rPr>
        <w:t>Laudonnière</w:t>
      </w:r>
      <w:proofErr w:type="spellEnd"/>
      <w:r w:rsidRPr="00AD4CFD">
        <w:rPr>
          <w:color w:val="000000" w:themeColor="text1"/>
          <w:shd w:val="clear" w:color="auto" w:fill="FFFFFF"/>
        </w:rPr>
        <w:t xml:space="preserve"> during an expedition to Florida</w:t>
      </w:r>
      <w:r w:rsidRPr="00AD4CFD">
        <w:rPr>
          <w:rFonts w:ascii="Arial" w:hAnsi="Arial" w:cs="Arial"/>
          <w:color w:val="000000" w:themeColor="text1"/>
          <w:sz w:val="33"/>
          <w:szCs w:val="33"/>
          <w:shd w:val="clear" w:color="auto" w:fill="FFFFFF"/>
        </w:rPr>
        <w:t xml:space="preserve"> </w:t>
      </w:r>
      <w:r>
        <w:rPr>
          <w:color w:val="000000" w:themeColor="text1"/>
        </w:rPr>
        <w:fldChar w:fldCharType="begin"/>
      </w:r>
      <w:r>
        <w:rPr>
          <w:color w:val="000000" w:themeColor="text1"/>
        </w:rPr>
        <w:instrText xml:space="preserve"> ADDIN ZOTERO_ITEM CSL_CITATION {"citationID":"NwMQBf4V","properties":{"formattedCitation":"(Heusmann 1991)","plainCitation":"(Heusmann 1991)","noteIndex":0},"citationItems":[{"id":169,"uris":["http://zotero.org/users/local/qFeOLOrx/items/F4NY9CXK"],"itemData":{"id":169,"type":"article-journal","container-title":"Wildlife Society Bulletin (1973-2006)","ISSN":"0091-7648","issue":"1","note":"publisher: [Wiley, Wildlife Society]","page":"14-22","source":"JSTOR","title":"The History and Status of the Mallard in the Atlantic Flyway","volume":"19","author":[{"family":"Heusmann","given":"H. W."}],"issued":{"date-parts":[["1991"]]}}}],"schema":"https://github.com/citation-style-language/schema/raw/master/csl-citation.json"} </w:instrText>
      </w:r>
      <w:r>
        <w:rPr>
          <w:color w:val="000000" w:themeColor="text1"/>
        </w:rPr>
        <w:fldChar w:fldCharType="separate"/>
      </w:r>
      <w:r>
        <w:rPr>
          <w:noProof/>
          <w:color w:val="000000" w:themeColor="text1"/>
        </w:rPr>
        <w:t>(Heusmann 1991)</w:t>
      </w:r>
      <w:r>
        <w:rPr>
          <w:color w:val="000000" w:themeColor="text1"/>
        </w:rPr>
        <w:fldChar w:fldCharType="end"/>
      </w:r>
      <w:r>
        <w:rPr>
          <w:color w:val="000000" w:themeColor="text1"/>
        </w:rPr>
        <w:t xml:space="preserve">. </w:t>
      </w:r>
      <w:r w:rsidRPr="00A25460">
        <w:rPr>
          <w:color w:val="000000" w:themeColor="text1"/>
        </w:rPr>
        <w:t xml:space="preserve">The migration pattern for U.S. Atlantic coast mallards follows the Atlantic flyway, in which they flock to their principal wintering range along the Atlantic Coast </w:t>
      </w:r>
      <w:r>
        <w:rPr>
          <w:color w:val="000000" w:themeColor="text1"/>
        </w:rPr>
        <w:fldChar w:fldCharType="begin"/>
      </w:r>
      <w:r>
        <w:rPr>
          <w:color w:val="000000" w:themeColor="text1"/>
        </w:rPr>
        <w:instrText xml:space="preserve"> ADDIN ZOTERO_ITEM CSL_CITATION {"citationID":"25SVWsOp","properties":{"formattedCitation":"(Baldassarre 2014)","plainCitation":"(Baldassarre 2014)","noteIndex":0},"citationItems":[{"id":56,"uris":["http://zotero.org/users/local/qFeOLOrx/items/PFDZ34ZM"],"itemData":{"id":56,"type":"book","abstract":"Ducks, Geese, and Swans of North America has been hailed as a classic since the first edition was published in 1942. A must-have for professional biologists, birders, waterfowl hunters, decoy collectors, and wildlife managers, this fully revised and updated edition provides definitive information on the continent's forty-six species. Maps of both winter and breeding ranges are presented with stunning images by top waterfowl photographers and the acclaimed original artwork of Robert W. (Bob) Hines. Originally authored by F. H. Kortright and later revised by Frank Bellrose, this latest edition, which has been meticulously updated by renowned waterfowl biologist Guy Baldassarre, continues the legacy of esteemed authors. Each species account contains in-depth sections on: • identification• distribution• migration behavior• habitat• population status• breeding biology• rearing of young• recruitment and survival• food habits and feeding ecology • molts and plumages• conservation and management To facilitate identification, the species accounts also include detailed illustrations of wings. An appendix contains comparative illustrations of ducklings, goslings, and cygnets.This edition of Ducks, Geese, and Swans consists of two volumes, printed in full color, and packaged in a slipcase, along with a CD containing references and additional maps.","ISBN":"978-1-4214-0808-8","language":"en","note":"Google-Books-ID: SiuhBQAAQBAJ","number-of-pages":"1183","publisher":"JHU Press","source":"Google Books","title":"Ducks, Geese, and Swans of North America","author":[{"family":"Baldassarre","given":"Guy"}],"issued":{"date-parts":[["2014",11,15]]}}}],"schema":"https://github.com/citation-style-language/schema/raw/master/csl-citation.json"} </w:instrText>
      </w:r>
      <w:r>
        <w:rPr>
          <w:color w:val="000000" w:themeColor="text1"/>
        </w:rPr>
        <w:fldChar w:fldCharType="separate"/>
      </w:r>
      <w:r>
        <w:rPr>
          <w:noProof/>
          <w:color w:val="000000" w:themeColor="text1"/>
        </w:rPr>
        <w:t>(Baldassarre 2014)</w:t>
      </w:r>
      <w:r>
        <w:rPr>
          <w:color w:val="000000" w:themeColor="text1"/>
        </w:rPr>
        <w:fldChar w:fldCharType="end"/>
      </w:r>
      <w:r w:rsidRPr="00A25460">
        <w:rPr>
          <w:color w:val="000000" w:themeColor="text1"/>
        </w:rPr>
        <w:t xml:space="preserve">.  </w:t>
      </w:r>
      <w:r>
        <w:rPr>
          <w:color w:val="000000" w:themeColor="text1"/>
        </w:rPr>
        <w:t xml:space="preserve">While common today, mallards were somewhat rare in the Atlantic Coast states before the 1900s due to a 50% to 90% reduction in their population through intense market hunting between 1880 and 1910 </w:t>
      </w:r>
      <w:r>
        <w:rPr>
          <w:color w:val="000000" w:themeColor="text1"/>
        </w:rPr>
        <w:fldChar w:fldCharType="begin"/>
      </w:r>
      <w:r>
        <w:rPr>
          <w:color w:val="000000" w:themeColor="text1"/>
        </w:rPr>
        <w:instrText xml:space="preserve"> ADDIN ZOTERO_ITEM CSL_CITATION {"citationID":"FdG1HQLe","properties":{"formattedCitation":"(Heusmann 1991)","plainCitation":"(Heusmann 1991)","noteIndex":0},"citationItems":[{"id":169,"uris":["http://zotero.org/users/local/qFeOLOrx/items/F4NY9CXK"],"itemData":{"id":169,"type":"article-journal","container-title":"Wildlife Society Bulletin (1973-2006)","ISSN":"0091-7648","issue":"1","note":"publisher: [Wiley, Wildlife Society]","page":"14-22","source":"JSTOR","title":"The History and Status of the Mallard in the Atlantic Flyway","volume":"19","author":[{"family":"Heusmann","given":"H. W."}],"issued":{"date-parts":[["1991"]]}}}],"schema":"https://github.com/citation-style-language/schema/raw/master/csl-citation.json"} </w:instrText>
      </w:r>
      <w:r>
        <w:rPr>
          <w:color w:val="000000" w:themeColor="text1"/>
        </w:rPr>
        <w:fldChar w:fldCharType="separate"/>
      </w:r>
      <w:r>
        <w:rPr>
          <w:noProof/>
          <w:color w:val="000000" w:themeColor="text1"/>
        </w:rPr>
        <w:t>(Heusmann 1991)</w:t>
      </w:r>
      <w:r>
        <w:rPr>
          <w:color w:val="000000" w:themeColor="text1"/>
        </w:rPr>
        <w:fldChar w:fldCharType="end"/>
      </w:r>
      <w:r>
        <w:rPr>
          <w:color w:val="000000" w:themeColor="text1"/>
        </w:rPr>
        <w:t xml:space="preserve">. This incentivized game commissioners and private farmers to establish regulated hunting seasons and to breed mallards in captivity and release them into the wild to stock wild populations </w:t>
      </w:r>
      <w:r>
        <w:rPr>
          <w:color w:val="000000" w:themeColor="text1"/>
        </w:rPr>
        <w:fldChar w:fldCharType="begin"/>
      </w:r>
      <w:r>
        <w:rPr>
          <w:color w:val="000000" w:themeColor="text1"/>
        </w:rPr>
        <w:instrText xml:space="preserve"> ADDIN ZOTERO_ITEM CSL_CITATION {"citationID":"q7iU5m9r","properties":{"formattedCitation":"(Heusmann 1991)","plainCitation":"(Heusmann 1991)","noteIndex":0},"citationItems":[{"id":169,"uris":["http://zotero.org/users/local/qFeOLOrx/items/F4NY9CXK"],"itemData":{"id":169,"type":"article-journal","container-title":"Wildlife Society Bulletin (1973-2006)","ISSN":"0091-7648","issue":"1","note":"publisher: [Wiley, Wildlife Society]","page":"14-22","source":"JSTOR","title":"The History and Status of the Mallard in the Atlantic Flyway","volume":"19","author":[{"family":"Heusmann","given":"H. W."}],"issued":{"date-parts":[["1991"]]}}}],"schema":"https://github.com/citation-style-language/schema/raw/master/csl-citation.json"} </w:instrText>
      </w:r>
      <w:r>
        <w:rPr>
          <w:color w:val="000000" w:themeColor="text1"/>
        </w:rPr>
        <w:fldChar w:fldCharType="separate"/>
      </w:r>
      <w:r>
        <w:rPr>
          <w:noProof/>
          <w:color w:val="000000" w:themeColor="text1"/>
        </w:rPr>
        <w:t>(Heusmann 1991)</w:t>
      </w:r>
      <w:r>
        <w:rPr>
          <w:color w:val="000000" w:themeColor="text1"/>
        </w:rPr>
        <w:fldChar w:fldCharType="end"/>
      </w:r>
      <w:r>
        <w:rPr>
          <w:color w:val="000000" w:themeColor="text1"/>
        </w:rPr>
        <w:t xml:space="preserve">. Additional construction of marshes, regulated hunting seasons, and deforestation in the Northeastern United States allowed mallards to not only recover their numbers, but also to nest in areas that the species had not previously </w:t>
      </w:r>
      <w:r>
        <w:rPr>
          <w:color w:val="000000" w:themeColor="text1"/>
        </w:rPr>
        <w:fldChar w:fldCharType="begin"/>
      </w:r>
      <w:r>
        <w:rPr>
          <w:color w:val="000000" w:themeColor="text1"/>
        </w:rPr>
        <w:instrText xml:space="preserve"> ADDIN ZOTERO_ITEM CSL_CITATION {"citationID":"8MoqJuZx","properties":{"formattedCitation":"(Heusmann 1991)","plainCitation":"(Heusmann 1991)","noteIndex":0},"citationItems":[{"id":169,"uris":["http://zotero.org/users/local/qFeOLOrx/items/F4NY9CXK"],"itemData":{"id":169,"type":"article-journal","container-title":"Wildlife Society Bulletin (1973-2006)","ISSN":"0091-7648","issue":"1","note":"publisher: [Wiley, Wildlife Society]","page":"14-22","source":"JSTOR","title":"The History and Status of the Mallard in the Atlantic Flyway","volume":"19","author":[{"family":"Heusmann","given":"H. W."}],"issued":{"date-parts":[["1991"]]}}}],"schema":"https://github.com/citation-style-language/schema/raw/master/csl-citation.json"} </w:instrText>
      </w:r>
      <w:r>
        <w:rPr>
          <w:color w:val="000000" w:themeColor="text1"/>
        </w:rPr>
        <w:fldChar w:fldCharType="separate"/>
      </w:r>
      <w:r>
        <w:rPr>
          <w:noProof/>
          <w:color w:val="000000" w:themeColor="text1"/>
        </w:rPr>
        <w:t>(Heusmann 1991)</w:t>
      </w:r>
      <w:r>
        <w:rPr>
          <w:color w:val="000000" w:themeColor="text1"/>
        </w:rPr>
        <w:fldChar w:fldCharType="end"/>
      </w:r>
      <w:r>
        <w:rPr>
          <w:color w:val="000000" w:themeColor="text1"/>
        </w:rPr>
        <w:t xml:space="preserve">. Through these efforts, the mallard population of the Atlantic Flyway between 1970 and 1999 increased from 100,000 to over one million birds </w:t>
      </w:r>
      <w:r>
        <w:rPr>
          <w:color w:val="000000" w:themeColor="text1"/>
        </w:rPr>
        <w:fldChar w:fldCharType="begin"/>
      </w:r>
      <w:r>
        <w:rPr>
          <w:color w:val="000000" w:themeColor="text1"/>
        </w:rPr>
        <w:instrText xml:space="preserve"> ADDIN ZOTERO_ITEM CSL_CITATION {"citationID":"7hZFz4Mq","properties":{"formattedCitation":"(Kaminski et al. 2013)","plainCitation":"(Kaminski et al. 2013)","noteIndex":0},"citationItems":[{"id":166,"uris":["http://zotero.org/users/local/qFeOLOrx/items/MESDJLR7"],"itemData":{"id":166,"type":"article-journal","abstract":"Ecology of mallards (Anas platyrhynchos) breeding in the Lower Great Lakes Region of the United States has not been investigated as comprehensively as mid-continent populations of this species. We studied mallard breeding ecology in the Cowaselon Creek Watershed Area in New York during 2003–2004. Daily and 100-day breeding season survival of female mallards (n = 41) was 0.997 and 0.782, respectively, and was positively influenced by female age and body mass at time of capture. Eight radiomarked female mallards were killed by either mammalian or avian predators. Earliest and latest nest initiation dates were 14 April and 24 May 2003–2004, respectively, and females initiated nests in wetlands 10 days earlier than in uplands. Overall, average clutch size was 9.4 ± 0.32 eggs (SE), and probability of reproductive success of females was 0.27, with nest success in wetlands and uplands of 0.71 and 0.42, respectively. Daily and 35-day nest success was 0.968 and 0.326, respectively. We found an estimated 70% of all initiated nests prior to clutch destruction or hatch; thus, our estimates of nesting and re-nesting effort may be biased low. Survival of breeding females and nest success were comparable or exceeded parameter estimates from other regions of the mallard breeding range. We suggest that wetland and upland habitats are both important to nesting mallards in New York and elsewhere in the Lower Great Lakes Region. © 2013 The Wildlife Society.","container-title":"Wildlife Society Bulletin","DOI":"10.1002/wsb.310","ISSN":"1938-5463","issue":"4","language":"en","note":"_eprint: https://onlinelibrary.wiley.com/doi/pdf/10.1002/wsb.310","page":"778-786","source":"Wiley Online Library","title":"Mallard survival and nesting ecology in the Lower Great Lakes Region, New York","volume":"37","author":[{"family":"Kaminski","given":"Matthew R."},{"family":"Baldassarre","given":"Guy A."},{"family":"Davis","given":"J. Brian"},{"family":"Wengert","given":"Eric R."},{"family":"Kaminski","given":"Richard M."}],"issued":{"date-parts":[["2013"]]}}}],"schema":"https://github.com/citation-style-language/schema/raw/master/csl-citation.json"} </w:instrText>
      </w:r>
      <w:r>
        <w:rPr>
          <w:color w:val="000000" w:themeColor="text1"/>
        </w:rPr>
        <w:fldChar w:fldCharType="separate"/>
      </w:r>
      <w:r>
        <w:rPr>
          <w:noProof/>
          <w:color w:val="000000" w:themeColor="text1"/>
        </w:rPr>
        <w:t>(Kaminski et al. 2013)</w:t>
      </w:r>
      <w:r>
        <w:rPr>
          <w:color w:val="000000" w:themeColor="text1"/>
        </w:rPr>
        <w:fldChar w:fldCharType="end"/>
      </w:r>
      <w:r>
        <w:rPr>
          <w:color w:val="000000" w:themeColor="text1"/>
        </w:rPr>
        <w:t>.</w:t>
      </w:r>
    </w:p>
    <w:p w14:paraId="53481285" w14:textId="2D1C9F89" w:rsidR="00BA4B65" w:rsidRPr="00A25460" w:rsidRDefault="00BA4B65" w:rsidP="00BA4B65">
      <w:pPr>
        <w:ind w:firstLine="720"/>
        <w:rPr>
          <w:color w:val="000000" w:themeColor="text1"/>
        </w:rPr>
      </w:pPr>
      <w:r w:rsidRPr="00A25460">
        <w:rPr>
          <w:color w:val="000000" w:themeColor="text1"/>
        </w:rPr>
        <w:t>Mallards are an agriculturally important domestic duck</w:t>
      </w:r>
      <w:r>
        <w:rPr>
          <w:color w:val="000000" w:themeColor="text1"/>
        </w:rPr>
        <w:t>, grown and harvested</w:t>
      </w:r>
      <w:r w:rsidRPr="00A25460">
        <w:rPr>
          <w:color w:val="000000" w:themeColor="text1"/>
        </w:rPr>
        <w:t xml:space="preserve"> for their eggs, down, meat, and </w:t>
      </w:r>
      <w:r>
        <w:rPr>
          <w:color w:val="000000" w:themeColor="text1"/>
        </w:rPr>
        <w:t xml:space="preserve">used </w:t>
      </w:r>
      <w:r w:rsidRPr="00A25460">
        <w:rPr>
          <w:color w:val="000000" w:themeColor="text1"/>
        </w:rPr>
        <w:t xml:space="preserve">as captive-reared game-farm birds raised for release into the wild for later recreational harvest </w:t>
      </w:r>
      <w:r>
        <w:rPr>
          <w:color w:val="000000" w:themeColor="text1"/>
        </w:rPr>
        <w:fldChar w:fldCharType="begin"/>
      </w:r>
      <w:r>
        <w:rPr>
          <w:color w:val="000000" w:themeColor="text1"/>
        </w:rPr>
        <w:instrText xml:space="preserve"> ADDIN ZOTERO_ITEM CSL_CITATION {"citationID":"TiqPiYOS","properties":{"formattedCitation":"(Feng et al. 2021)","plainCitation":"(Feng et al. 2021)","noteIndex":0},"citationItems":[{"id":115,"uris":["http://zotero.org/users/local/qFeOLOrx/items/GCN5GAR3"],"itemData":{"id":115,"type":"article-journal","abstract":"Duck is an ancient domesticated animal with high economic value, used for its meat, eggs, and feathers. However, the origin of indigenous Chinese ducks remains elusive. To address this question, we performed whole-genome resequencing to first explore the genetic relationship among variants of these domestic ducks with their potential wild ancestors in eastern China, as well as understand how the their genomes were shaped by different natural and artificial selective pressures.","container-title":"BMC Genomics","DOI":"10.1186/s12864-021-07710-2","ISSN":"1471-2164","issue":"1","journalAbbreviation":"BMC Genomics","page":"401","source":"BioMed Central","title":"Whole-genome resequencing provides insights into the population structure and domestication signatures of ducks in eastern China","volume":"22","author":[{"family":"Feng","given":"Peishi"},{"family":"Zeng","given":"Tao"},{"family":"Yang","given":"Hua"},{"family":"Chen","given":"Guohong"},{"family":"Du","given":"Jinping"},{"family":"Chen","given":"Li"},{"family":"Shen","given":"Junda"},{"family":"Tao","given":"Zhenrong"},{"family":"Wang","given":"Ping"},{"family":"Yang","given":"Lin"},{"family":"Lu","given":"Lizhi"}],"issued":{"date-parts":[["2021",5,31]]}}}],"schema":"https://github.com/citation-style-language/schema/raw/master/csl-citation.json"} </w:instrText>
      </w:r>
      <w:r>
        <w:rPr>
          <w:color w:val="000000" w:themeColor="text1"/>
        </w:rPr>
        <w:fldChar w:fldCharType="separate"/>
      </w:r>
      <w:r>
        <w:rPr>
          <w:noProof/>
          <w:color w:val="000000" w:themeColor="text1"/>
        </w:rPr>
        <w:t>(Feng et al. 2021)</w:t>
      </w:r>
      <w:r>
        <w:rPr>
          <w:color w:val="000000" w:themeColor="text1"/>
        </w:rPr>
        <w:fldChar w:fldCharType="end"/>
      </w:r>
      <w:r>
        <w:rPr>
          <w:color w:val="000000" w:themeColor="text1"/>
        </w:rPr>
        <w:t>.</w:t>
      </w:r>
      <w:r w:rsidRPr="00A25460">
        <w:rPr>
          <w:color w:val="000000" w:themeColor="text1"/>
        </w:rPr>
        <w:t xml:space="preserve"> Ducks domesticated for egg production, such as Shaoxing ducks, have a small body size, mature early, and most importantly, have high egg producti</w:t>
      </w:r>
      <w:r>
        <w:rPr>
          <w:color w:val="000000" w:themeColor="text1"/>
        </w:rPr>
        <w:t>on</w:t>
      </w:r>
      <w:r w:rsidRPr="00A25460">
        <w:rPr>
          <w:color w:val="000000" w:themeColor="text1"/>
        </w:rPr>
        <w:t xml:space="preserve"> and have been used since the Song Dynasty</w:t>
      </w:r>
      <w:r>
        <w:rPr>
          <w:color w:val="000000" w:themeColor="text1"/>
        </w:rPr>
        <w:t xml:space="preserve"> around 1000 years ago</w:t>
      </w:r>
      <w:r w:rsidRPr="00A25460">
        <w:rPr>
          <w:color w:val="000000" w:themeColor="text1"/>
        </w:rPr>
        <w:t xml:space="preserve"> </w:t>
      </w:r>
      <w:r>
        <w:rPr>
          <w:color w:val="000000" w:themeColor="text1"/>
        </w:rPr>
        <w:fldChar w:fldCharType="begin"/>
      </w:r>
      <w:r>
        <w:rPr>
          <w:color w:val="000000" w:themeColor="text1"/>
        </w:rPr>
        <w:instrText xml:space="preserve"> ADDIN ZOTERO_ITEM CSL_CITATION {"citationID":"9JbIPd63","properties":{"formattedCitation":"(Feng et al. 2021)","plainCitation":"(Feng et al. 2021)","noteIndex":0},"citationItems":[{"id":115,"uris":["http://zotero.org/users/local/qFeOLOrx/items/GCN5GAR3"],"itemData":{"id":115,"type":"article-journal","abstract":"Duck is an ancient domesticated animal with high economic value, used for its meat, eggs, and feathers. However, the origin of indigenous Chinese ducks remains elusive. To address this question, we performed whole-genome resequencing to first explore the genetic relationship among variants of these domestic ducks with their potential wild ancestors in eastern China, as well as understand how the their genomes were shaped by different natural and artificial selective pressures.","container-title":"BMC Genomics","DOI":"10.1186/s12864-021-07710-2","ISSN":"1471-2164","issue":"1","journalAbbreviation":"BMC Genomics","page":"401","source":"BioMed Central","title":"Whole-genome resequencing provides insights into the population structure and domestication signatures of ducks in eastern China","volume":"22","author":[{"family":"Feng","given":"Peishi"},{"family":"Zeng","given":"Tao"},{"family":"Yang","given":"Hua"},{"family":"Chen","given":"Guohong"},{"family":"Du","given":"Jinping"},{"family":"Chen","given":"Li"},{"family":"Shen","given":"Junda"},{"family":"Tao","given":"Zhenrong"},{"family":"Wang","given":"Ping"},{"family":"Yang","given":"Lin"},{"family":"Lu","given":"Lizhi"}],"issued":{"date-parts":[["2021",5,31]]}}}],"schema":"https://github.com/citation-style-language/schema/raw/master/csl-citation.json"} </w:instrText>
      </w:r>
      <w:r>
        <w:rPr>
          <w:color w:val="000000" w:themeColor="text1"/>
        </w:rPr>
        <w:fldChar w:fldCharType="separate"/>
      </w:r>
      <w:r>
        <w:rPr>
          <w:noProof/>
          <w:color w:val="000000" w:themeColor="text1"/>
        </w:rPr>
        <w:t>(Feng et al. 2021)</w:t>
      </w:r>
      <w:r>
        <w:rPr>
          <w:color w:val="000000" w:themeColor="text1"/>
        </w:rPr>
        <w:fldChar w:fldCharType="end"/>
      </w:r>
      <w:r w:rsidRPr="00A25460">
        <w:rPr>
          <w:color w:val="000000" w:themeColor="text1"/>
        </w:rPr>
        <w:t xml:space="preserve">. To accommodate </w:t>
      </w:r>
      <w:r>
        <w:rPr>
          <w:color w:val="000000" w:themeColor="text1"/>
        </w:rPr>
        <w:t>human</w:t>
      </w:r>
      <w:r w:rsidRPr="00A25460">
        <w:rPr>
          <w:color w:val="000000" w:themeColor="text1"/>
        </w:rPr>
        <w:t xml:space="preserve"> needs, </w:t>
      </w:r>
      <w:r>
        <w:rPr>
          <w:color w:val="000000" w:themeColor="text1"/>
        </w:rPr>
        <w:t>domestic</w:t>
      </w:r>
      <w:r w:rsidRPr="00A25460">
        <w:rPr>
          <w:color w:val="000000" w:themeColor="text1"/>
        </w:rPr>
        <w:t xml:space="preserve"> mallards </w:t>
      </w:r>
      <w:r>
        <w:rPr>
          <w:color w:val="000000" w:themeColor="text1"/>
        </w:rPr>
        <w:t>used for food were</w:t>
      </w:r>
      <w:r w:rsidRPr="00A25460">
        <w:rPr>
          <w:color w:val="000000" w:themeColor="text1"/>
        </w:rPr>
        <w:t xml:space="preserve"> artificially selected for earlier egg production, larger body sizes, and decreased aggression toward humans </w:t>
      </w:r>
      <w:r>
        <w:rPr>
          <w:color w:val="000000" w:themeColor="text1"/>
        </w:rPr>
        <w:fldChar w:fldCharType="begin"/>
      </w:r>
      <w:r>
        <w:rPr>
          <w:color w:val="000000" w:themeColor="text1"/>
        </w:rPr>
        <w:instrText xml:space="preserve"> ADDIN ZOTERO_ITEM CSL_CITATION {"citationID":"QJsEq9Cf","properties":{"formattedCitation":"(Feng et al. 2021)","plainCitation":"(Feng et al. 2021)","noteIndex":0},"citationItems":[{"id":115,"uris":["http://zotero.org/users/local/qFeOLOrx/items/GCN5GAR3"],"itemData":{"id":115,"type":"article-journal","abstract":"Duck is an ancient domesticated animal with high economic value, used for its meat, eggs, and feathers. However, the origin of indigenous Chinese ducks remains elusive. To address this question, we performed whole-genome resequencing to first explore the genetic relationship among variants of these domestic ducks with their potential wild ancestors in eastern China, as well as understand how the their genomes were shaped by different natural and artificial selective pressures.","container-title":"BMC Genomics","DOI":"10.1186/s12864-021-07710-2","ISSN":"1471-2164","issue":"1","journalAbbreviation":"BMC Genomics","page":"401","source":"BioMed Central","title":"Whole-genome resequencing provides insights into the population structure and domestication signatures of ducks in eastern China","volume":"22","author":[{"family":"Feng","given":"Peishi"},{"family":"Zeng","given":"Tao"},{"family":"Yang","given":"Hua"},{"family":"Chen","given":"Guohong"},{"family":"Du","given":"Jinping"},{"family":"Chen","given":"Li"},{"family":"Shen","given":"Junda"},{"family":"Tao","given":"Zhenrong"},{"family":"Wang","given":"Ping"},{"family":"Yang","given":"Lin"},{"family":"Lu","given":"Lizhi"}],"issued":{"date-parts":[["2021",5,31]]}}}],"schema":"https://github.com/citation-style-language/schema/raw/master/csl-citation.json"} </w:instrText>
      </w:r>
      <w:r>
        <w:rPr>
          <w:color w:val="000000" w:themeColor="text1"/>
        </w:rPr>
        <w:fldChar w:fldCharType="separate"/>
      </w:r>
      <w:r>
        <w:rPr>
          <w:noProof/>
          <w:color w:val="000000" w:themeColor="text1"/>
        </w:rPr>
        <w:t>(Feng et al. 2021)</w:t>
      </w:r>
      <w:r>
        <w:rPr>
          <w:color w:val="000000" w:themeColor="text1"/>
        </w:rPr>
        <w:fldChar w:fldCharType="end"/>
      </w:r>
      <w:r>
        <w:rPr>
          <w:color w:val="000000" w:themeColor="text1"/>
        </w:rPr>
        <w:t xml:space="preserve">. </w:t>
      </w:r>
      <w:r w:rsidRPr="009A2363">
        <w:rPr>
          <w:color w:val="000000" w:themeColor="text1"/>
        </w:rPr>
        <w:t>In contrast, contemporary selection of game-farm mallards produced for release aims for faster growth rates and agile flight with smaller final body size; This allows for quicker sale which reduces costs associated with production</w:t>
      </w:r>
      <w:r>
        <w:rPr>
          <w:color w:val="000000" w:themeColor="text1"/>
        </w:rPr>
        <w:t xml:space="preserve"> (M. Schummer, personnel communication; Frost </w:t>
      </w:r>
      <w:r w:rsidRPr="00594297">
        <w:rPr>
          <w:color w:val="000000" w:themeColor="text1"/>
        </w:rPr>
        <w:t>Mallards 2022). Even when</w:t>
      </w:r>
      <w:r>
        <w:rPr>
          <w:color w:val="000000" w:themeColor="text1"/>
        </w:rPr>
        <w:t xml:space="preserve"> </w:t>
      </w:r>
      <w:r w:rsidRPr="00594297">
        <w:rPr>
          <w:color w:val="000000" w:themeColor="text1"/>
        </w:rPr>
        <w:t xml:space="preserve">sampled a decade apart, harvested mallards show consistent </w:t>
      </w:r>
      <w:r w:rsidRPr="00594297">
        <w:rPr>
          <w:color w:val="000000" w:themeColor="text1"/>
          <w:shd w:val="clear" w:color="auto" w:fill="FFFFFF"/>
        </w:rPr>
        <w:t>mitochondrial haplotypes. suggesting mitochondrial introgression can be captured and persist within lineages for much longer than previously thought</w:t>
      </w:r>
      <w:r>
        <w:rPr>
          <w:color w:val="000000" w:themeColor="text1"/>
          <w:shd w:val="clear" w:color="auto" w:fill="FFFFFF"/>
        </w:rPr>
        <w:t xml:space="preserve"> </w:t>
      </w:r>
      <w:r w:rsidRPr="00594297">
        <w:rPr>
          <w:color w:val="000000" w:themeColor="text1"/>
          <w:shd w:val="clear" w:color="auto" w:fill="FFFFFF"/>
        </w:rPr>
        <w:t xml:space="preserve"> </w:t>
      </w:r>
      <w:r w:rsidRPr="00594297">
        <w:rPr>
          <w:color w:val="000000" w:themeColor="text1"/>
          <w:shd w:val="clear" w:color="auto" w:fill="FFFFFF"/>
        </w:rPr>
        <w:fldChar w:fldCharType="begin"/>
      </w:r>
      <w:r w:rsidRPr="00594297">
        <w:rPr>
          <w:color w:val="000000" w:themeColor="text1"/>
          <w:shd w:val="clear" w:color="auto" w:fill="FFFFFF"/>
        </w:rPr>
        <w:instrText xml:space="preserve"> ADDIN ZOTERO_ITEM CSL_CITATION {"citationID":"gFGna51g","properties":{"formattedCitation":"(Davis et al. 2022)","plainCitation":"(Davis et al. 2022)","noteIndex":0},"citationItems":[{"id":224,"uris":["http://zotero.org/users/local/qFeOLOrx/items/EZT2B9UV"],"itemData":{"id":224,"type":"article-journal","abstract":"The Mallard (Anas platyrhynchos) duck is a ubiquitous and socio-economically important game bird in North America. Despite their generally abundant midcontinent population, Mallards in eastern North America are declining, which may be partially explained by extensive hybridization with human-released domestically derived game-farm Mallards. We investigated the genetic composition of Mallards in the middle and lower Mississippi flyway, key wintering regions for the species. We found that nearly 30% of wild Mallards carried mitochondrial (mtDNA) haplotypes derived from domestic Mallards present in North America, indicating that the individuals had female game-farm Mallard lineage in their past; however, nuclear results identified only 4% of the same sample set as putative hybrids. Recovering 30% of samples with Old World (OW) A mtDNA haplotypes is concordant with general trends across the Mississippi flyway and this percentage was stable across Mallards we sampled a decade apart. The capture and perpetuation of OW A mtDNA haplotypes are likely due to female breeding structure, whereas reversal of the nuclear signal back to wild ancestry is due to sequential backcrossing and lower and/or declining admixture with game-farm Mallards. Future studies of wild ancestry of Mississippi flyway Mallards will benefit from coupling molecular and spatial technology across flyways, seasons, and years to search for potential transitions of Mallard populations with different genetic ancestry, and whether the genetic ancestry is somehow linked to an individual’s natal and subsequent breeding location.• Mallard ducks are common worldwide but are declining in the Atlantic flyway of eastern North America, a decline that may be influenced by widespread hybridization between genetically wild Mallards and domestic game-farm birds that are released for hunting.• We used hunter-harvested birds to investigate possible westward expansion and hybridization rates in the lower Mississippi flyway.• Despite recovering 30% of samples possessing game-farm Mallard-derived mitochondrial DNA, only 4% were identified as hybrids across thousands of nuclear loci.• Prevalence of game-farm Mallard-derived mitochondrial haplotypes were consistent in Mallards sampled a decade apart, suggesting mitochondrial introgression can be captured and persist within lineages far longer than nuclear DNA.• Whereas the prevalence of wild × game-farm Mallard hybrids remains significantly less in the lower Mississippi relative to the Atlantic flyway, continued genetic monitoring and development of management strategies to abate future hybridization will be required.","container-title":"Ornithology","DOI":"10.1093/ornithology/ukac034","ISSN":"0004-8038","issue":"4","journalAbbreviation":"Ornithology","page":"ukac034","source":"Silverchair","title":"Low levels of hybridization between domestic and wild Mallards wintering in the lower Mississippi Flyway","volume":"139","author":[{"family":"Davis","given":"J Brian"},{"family":"Outlaw","given":"Diana C"},{"family":"Ringelman","given":"Kevin M"},{"family":"Kaminski","given":"Richard M"},{"family":"Lavretsky","given":"Philip"}],"issued":{"date-parts":[["2022",10,6]]}}}],"schema":"https://github.com/citation-style-language/schema/raw/master/csl-citation.json"} </w:instrText>
      </w:r>
      <w:r w:rsidRPr="00594297">
        <w:rPr>
          <w:color w:val="000000" w:themeColor="text1"/>
          <w:shd w:val="clear" w:color="auto" w:fill="FFFFFF"/>
        </w:rPr>
        <w:fldChar w:fldCharType="separate"/>
      </w:r>
      <w:r w:rsidRPr="00594297">
        <w:rPr>
          <w:noProof/>
          <w:color w:val="000000" w:themeColor="text1"/>
          <w:shd w:val="clear" w:color="auto" w:fill="FFFFFF"/>
        </w:rPr>
        <w:t>(Davis et al. 2022)</w:t>
      </w:r>
      <w:r w:rsidRPr="00594297">
        <w:rPr>
          <w:color w:val="000000" w:themeColor="text1"/>
          <w:shd w:val="clear" w:color="auto" w:fill="FFFFFF"/>
        </w:rPr>
        <w:fldChar w:fldCharType="end"/>
      </w:r>
      <w:r>
        <w:rPr>
          <w:color w:val="000000" w:themeColor="text1"/>
          <w:shd w:val="clear" w:color="auto" w:fill="FFFFFF"/>
        </w:rPr>
        <w:t>.</w:t>
      </w:r>
    </w:p>
    <w:p w14:paraId="0EFB54DB" w14:textId="43D360A0" w:rsidR="00BA4B65" w:rsidRPr="001A06C8" w:rsidRDefault="00BA4B65" w:rsidP="00BA4B65">
      <w:pPr>
        <w:ind w:firstLine="720"/>
        <w:rPr>
          <w:color w:val="000000" w:themeColor="text1"/>
        </w:rPr>
      </w:pPr>
      <w:r>
        <w:rPr>
          <w:color w:val="000000" w:themeColor="text1"/>
        </w:rPr>
        <w:t>In addition to possible reductions in overall body size, another</w:t>
      </w:r>
      <w:r w:rsidRPr="00A25460">
        <w:rPr>
          <w:color w:val="000000" w:themeColor="text1"/>
        </w:rPr>
        <w:t xml:space="preserve"> possible </w:t>
      </w:r>
      <w:r>
        <w:rPr>
          <w:color w:val="000000" w:themeColor="text1"/>
        </w:rPr>
        <w:t xml:space="preserve">impact of </w:t>
      </w:r>
      <w:r w:rsidRPr="00A25460">
        <w:rPr>
          <w:color w:val="000000" w:themeColor="text1"/>
        </w:rPr>
        <w:t xml:space="preserve">artificial selection </w:t>
      </w:r>
      <w:r>
        <w:rPr>
          <w:color w:val="000000" w:themeColor="text1"/>
        </w:rPr>
        <w:t>on</w:t>
      </w:r>
      <w:r w:rsidRPr="00A25460">
        <w:rPr>
          <w:color w:val="000000" w:themeColor="text1"/>
        </w:rPr>
        <w:t xml:space="preserve"> game-farm mallard</w:t>
      </w:r>
      <w:r>
        <w:rPr>
          <w:color w:val="000000" w:themeColor="text1"/>
        </w:rPr>
        <w:t>s</w:t>
      </w:r>
      <w:r w:rsidRPr="00A25460">
        <w:rPr>
          <w:color w:val="000000" w:themeColor="text1"/>
        </w:rPr>
        <w:t xml:space="preserve"> </w:t>
      </w:r>
      <w:r>
        <w:rPr>
          <w:color w:val="000000" w:themeColor="text1"/>
        </w:rPr>
        <w:t>reduced</w:t>
      </w:r>
      <w:r w:rsidRPr="004A798F">
        <w:rPr>
          <w:color w:val="000000" w:themeColor="text1"/>
        </w:rPr>
        <w:t xml:space="preserve"> lamellae </w:t>
      </w:r>
      <w:r>
        <w:rPr>
          <w:color w:val="000000" w:themeColor="text1"/>
        </w:rPr>
        <w:t xml:space="preserve">capacity </w:t>
      </w:r>
      <w:r w:rsidRPr="004A798F">
        <w:rPr>
          <w:color w:val="000000" w:themeColor="text1"/>
        </w:rPr>
        <w:t>because they are not fed natural food items in captivity</w:t>
      </w:r>
      <w:r>
        <w:rPr>
          <w:color w:val="000000" w:themeColor="text1"/>
        </w:rPr>
        <w:t xml:space="preserve">. Captive mallards are typically fed grains such as </w:t>
      </w:r>
      <w:r w:rsidRPr="004A798F">
        <w:rPr>
          <w:color w:val="000000" w:themeColor="text1"/>
        </w:rPr>
        <w:t>corn and wheat</w:t>
      </w:r>
      <w:r>
        <w:rPr>
          <w:color w:val="000000" w:themeColor="text1"/>
        </w:rPr>
        <w:t xml:space="preserve"> and they gradually handle fewer smaller plant seeds and aquatic invertebrates</w:t>
      </w:r>
      <w:r w:rsidRPr="004A798F">
        <w:rPr>
          <w:color w:val="000000" w:themeColor="text1"/>
        </w:rPr>
        <w:t xml:space="preserve">. </w:t>
      </w:r>
      <w:r>
        <w:rPr>
          <w:color w:val="000000" w:themeColor="text1"/>
        </w:rPr>
        <w:t>In other words, captive mallards may be more prone to “grab” larger agricultural seeds and rely less on filtering food items through their lamellae. Since the 1970s</w:t>
      </w:r>
      <w:r w:rsidRPr="00A25460">
        <w:rPr>
          <w:color w:val="000000" w:themeColor="text1"/>
        </w:rPr>
        <w:t xml:space="preserve">, </w:t>
      </w:r>
      <w:r>
        <w:rPr>
          <w:color w:val="000000" w:themeColor="text1"/>
        </w:rPr>
        <w:t xml:space="preserve">for example, </w:t>
      </w:r>
      <w:r w:rsidRPr="00A25460">
        <w:rPr>
          <w:color w:val="000000" w:themeColor="text1"/>
        </w:rPr>
        <w:t xml:space="preserve">supplemental stocking of </w:t>
      </w:r>
      <w:r>
        <w:rPr>
          <w:color w:val="000000" w:themeColor="text1"/>
        </w:rPr>
        <w:t>m</w:t>
      </w:r>
      <w:r w:rsidRPr="00A25460">
        <w:rPr>
          <w:color w:val="000000" w:themeColor="text1"/>
        </w:rPr>
        <w:t>allard</w:t>
      </w:r>
      <w:r>
        <w:rPr>
          <w:color w:val="000000" w:themeColor="text1"/>
        </w:rPr>
        <w:t>s</w:t>
      </w:r>
      <w:r w:rsidRPr="00A25460">
        <w:rPr>
          <w:color w:val="000000" w:themeColor="text1"/>
        </w:rPr>
        <w:t xml:space="preserve"> in Europe </w:t>
      </w:r>
      <w:r>
        <w:rPr>
          <w:color w:val="000000" w:themeColor="text1"/>
        </w:rPr>
        <w:t xml:space="preserve">increased concomitantly with increasing popularity of </w:t>
      </w:r>
      <w:r w:rsidRPr="00A25460">
        <w:rPr>
          <w:color w:val="000000" w:themeColor="text1"/>
        </w:rPr>
        <w:t xml:space="preserve"> commercial hunting </w:t>
      </w:r>
      <w:r w:rsidRPr="00A25460">
        <w:rPr>
          <w:color w:val="000000" w:themeColor="text1"/>
        </w:rPr>
        <w:lastRenderedPageBreak/>
        <w:t xml:space="preserve">estates </w:t>
      </w:r>
      <w:r>
        <w:rPr>
          <w:color w:val="000000" w:themeColor="text1"/>
        </w:rPr>
        <w:fldChar w:fldCharType="begin"/>
      </w:r>
      <w:r>
        <w:rPr>
          <w:color w:val="000000" w:themeColor="text1"/>
        </w:rPr>
        <w:instrText xml:space="preserve"> ADDIN ZOTERO_ITEM CSL_CITATION {"citationID":"UZECX3dI","properties":{"formattedCitation":"(Champagnon et al. 2016)","plainCitation":"(Champagnon et al. 2016)","noteIndex":0},"citationItems":[{"id":251,"uris":["http://zotero.org/users/local/qFeOLOrx/items/MPDTTUEM"],"itemData":{"id":251,"type":"article-journal","abstract":"The survival of captive-bred individuals from release into the wild to their first breeding season is crucial to assess the success of reintroduction or translocation programmes, and to assess their potential impact of wild populations. However, assessing the survival of captive-bred individuals following their release is often complicated by immediate dispersal once in the wild. Here, we apply Lindberg's robust design model, a method that incorporates emigration from the study site, to obtain true estimates of survival of captive-bred Mallards Anas platyrhynchos, a common duck species released on a large scale in Europe since the 1970s. Overall survival rate from release in July until the onset of the next breeding season in April was low (0.18 ± 0.07 se) and equivalent to half the first-year survival of local wild Mallards. Higher overall detectability and temporary emigration during the hunting period revealed movements in response to hunting pressure. Such low survival of released Mallards during their first year may help prevent large-scale genetic mixing with the wild population. Nevertheless, by combining our results with regional waterfowl counts, we estimated that a minimum of 34% of the Mallards in the region were of captive origin at the onset of the breeding season. Although most released birds quickly die, restocking for hunting may be of sufficient magnitude to affect the wild population through genetic homogenization or loss of local adaptation. Robust design protocols allow for the estimation of true survival estimates by controlling for permanent and temporary emigration and may require only a moderate increase in fieldwork effort.","container-title":"Ibis","DOI":"10.1111/ibi.12341","ISSN":"1474-919X","issue":"2","language":"en","note":"_eprint: https://onlinelibrary.wiley.com/doi/pdf/10.1111/ibi.12341","page":"343-352","source":"Wiley Online Library","title":"Robust estimation of survival and contribution of captive-bred Mallards Anas platyrhynchos to a wild population in a large-scale release programme","volume":"158","author":[{"family":"Champagnon","given":"Jocelyn"},{"family":"Legagneux","given":"Pierre"},{"family":"Souchay","given":"Guillaume"},{"family":"Inchausti","given":"Pablo"},{"family":"Bretagnolle","given":"Vincent"},{"family":"Bourguemestre","given":"François"},{"family":"Van Ingen","given":"Laura"},{"family":"Guillemain","given":"Matthieu"}],"issued":{"date-parts":[["2016"]]}}}],"schema":"https://github.com/citation-style-language/schema/raw/master/csl-citation.json"} </w:instrText>
      </w:r>
      <w:r>
        <w:rPr>
          <w:color w:val="000000" w:themeColor="text1"/>
        </w:rPr>
        <w:fldChar w:fldCharType="separate"/>
      </w:r>
      <w:r>
        <w:rPr>
          <w:noProof/>
          <w:color w:val="000000" w:themeColor="text1"/>
        </w:rPr>
        <w:t>(Champagnon et al. 2016)</w:t>
      </w:r>
      <w:r>
        <w:rPr>
          <w:color w:val="000000" w:themeColor="text1"/>
        </w:rPr>
        <w:fldChar w:fldCharType="end"/>
      </w:r>
      <w:r>
        <w:rPr>
          <w:color w:val="000000" w:themeColor="text1"/>
        </w:rPr>
        <w:t>.</w:t>
      </w:r>
      <w:r w:rsidRPr="00A25460">
        <w:rPr>
          <w:color w:val="000000" w:themeColor="text1"/>
        </w:rPr>
        <w:t xml:space="preserve"> Under artificial selection in captivity, these European game-farm mallards have </w:t>
      </w:r>
      <w:r>
        <w:rPr>
          <w:color w:val="000000" w:themeColor="text1"/>
        </w:rPr>
        <w:t>had</w:t>
      </w:r>
      <w:r w:rsidRPr="00A25460">
        <w:rPr>
          <w:color w:val="000000" w:themeColor="text1"/>
        </w:rPr>
        <w:t xml:space="preserve"> reductions in body size, bill length, density of lamellae, and increase</w:t>
      </w:r>
      <w:r>
        <w:rPr>
          <w:color w:val="000000" w:themeColor="text1"/>
        </w:rPr>
        <w:t>d</w:t>
      </w:r>
      <w:r w:rsidRPr="00A25460">
        <w:rPr>
          <w:color w:val="000000" w:themeColor="text1"/>
        </w:rPr>
        <w:t xml:space="preserve"> bill height </w:t>
      </w:r>
      <w:r>
        <w:rPr>
          <w:color w:val="000000" w:themeColor="text1"/>
        </w:rPr>
        <w:fldChar w:fldCharType="begin"/>
      </w:r>
      <w:r>
        <w:rPr>
          <w:color w:val="000000" w:themeColor="text1"/>
        </w:rPr>
        <w:instrText xml:space="preserve"> ADDIN ZOTERO_ITEM CSL_CITATION {"citationID":"zH7UqPj0","properties":{"formattedCitation":"(S\\uc0\\u246{}derquist et al. 2014)","plainCitation":"(Söderquist et al. 2014)","noteIndex":0},"citationItems":[{"id":50,"uris":["http://zotero.org/users/local/qFeOLOrx/items/QB7UNL89"],"itemData":{"id":50,"type":"article-journal","abstract":"Wild populations of the world’s most common dabbling duck, the mallard (Anas platyrhynchos), run the risk of genetic introgression by farmed conspecifics released for hunting purposes. We tested whether bill morphology of free-living birds has changed since large-scale releases of farmed mallards started. Three groups of mallards from Sweden, Norway and Finland were compared: historical wild (before large-scale releases started), present-day wild, and present-day farmed. Higher density of bill lamellae was observed in historical wild mallards (only males). Farmed mallards had wider bills than present-day and historical wild ones. Present-day wild and farmed mallards also had higher and shorter bills than historical wild mallards. Present-day mallards thus tend to have more “goose-like” bills (wider, higher, and shorter) than their ancestors. Our study suggests that surviving released mallards affect morphological traits in wild population by introgression. We discuss how such anthropogenic impact may lead to a maladapted and genetically compromised wild mallard population. Our study system has bearing on other taxa where large-scale releases of conspecifics with ‘alien genes’ may cause a cryptic invasive process that nevertheless has fitness consequences for individual birds.","container-title":"PLOS ONE","DOI":"10.1371/journal.pone.0115143","ISSN":"1932-6203","issue":"12","journalAbbreviation":"PLOS ONE","language":"en","note":"publisher: Public Library of Science","page":"e115143","source":"PLoS Journals","title":"Wild Mallards Have More “Goose-Like” Bills Than Their Ancestors: A Case of Anthropogenic Influence?","title-short":"Wild Mallards Have More “Goose-Like” Bills Than Their Ancestors","volume":"9","author":[{"family":"Söderquist","given":"Pär"},{"family":"Norrström","given":"Joanna"},{"family":"Elmberg","given":"Johan"},{"family":"Guillemain","given":"Matthieu"},{"family":"Gunnarsson","given":"Gunnar"}],"issued":{"date-parts":[["2014",12,16]]}}}],"schema":"https://github.com/citation-style-language/schema/raw/master/csl-citation.json"} </w:instrText>
      </w:r>
      <w:r>
        <w:rPr>
          <w:color w:val="000000" w:themeColor="text1"/>
        </w:rPr>
        <w:fldChar w:fldCharType="separate"/>
      </w:r>
      <w:r w:rsidRPr="009C4A7E">
        <w:rPr>
          <w:color w:val="000000"/>
        </w:rPr>
        <w:t>(Söderquist et al. 2014)</w:t>
      </w:r>
      <w:r>
        <w:rPr>
          <w:color w:val="000000" w:themeColor="text1"/>
        </w:rPr>
        <w:fldChar w:fldCharType="end"/>
      </w:r>
      <w:r w:rsidRPr="00A25460">
        <w:rPr>
          <w:color w:val="000000" w:themeColor="text1"/>
        </w:rPr>
        <w:t xml:space="preserve">.  </w:t>
      </w:r>
      <w:r>
        <w:rPr>
          <w:color w:val="000000" w:themeColor="text1"/>
        </w:rPr>
        <w:t>T</w:t>
      </w:r>
      <w:r w:rsidRPr="004A798F">
        <w:rPr>
          <w:color w:val="000000" w:themeColor="text1"/>
        </w:rPr>
        <w:t>h</w:t>
      </w:r>
      <w:r>
        <w:rPr>
          <w:color w:val="000000" w:themeColor="text1"/>
        </w:rPr>
        <w:t xml:space="preserve">e modified </w:t>
      </w:r>
      <w:r w:rsidRPr="004A798F">
        <w:rPr>
          <w:color w:val="000000" w:themeColor="text1"/>
        </w:rPr>
        <w:t xml:space="preserve"> diet </w:t>
      </w:r>
      <w:r>
        <w:rPr>
          <w:color w:val="000000" w:themeColor="text1"/>
        </w:rPr>
        <w:t xml:space="preserve">(e.g., agricultural seeds) </w:t>
      </w:r>
      <w:r w:rsidRPr="004A798F">
        <w:rPr>
          <w:color w:val="000000" w:themeColor="text1"/>
        </w:rPr>
        <w:t>has re</w:t>
      </w:r>
      <w:r>
        <w:rPr>
          <w:color w:val="000000" w:themeColor="text1"/>
        </w:rPr>
        <w:t>duced</w:t>
      </w:r>
      <w:r w:rsidRPr="004A798F">
        <w:rPr>
          <w:color w:val="000000" w:themeColor="text1"/>
        </w:rPr>
        <w:t xml:space="preserve"> the selecti</w:t>
      </w:r>
      <w:r>
        <w:rPr>
          <w:color w:val="000000" w:themeColor="text1"/>
        </w:rPr>
        <w:t>ve</w:t>
      </w:r>
      <w:r w:rsidRPr="004A798F">
        <w:rPr>
          <w:color w:val="000000" w:themeColor="text1"/>
        </w:rPr>
        <w:t xml:space="preserve"> pressure </w:t>
      </w:r>
      <w:r>
        <w:rPr>
          <w:color w:val="000000" w:themeColor="text1"/>
        </w:rPr>
        <w:t>of</w:t>
      </w:r>
      <w:r w:rsidRPr="004A798F">
        <w:rPr>
          <w:color w:val="000000" w:themeColor="text1"/>
        </w:rPr>
        <w:t xml:space="preserve"> </w:t>
      </w:r>
      <w:r>
        <w:rPr>
          <w:color w:val="000000" w:themeColor="text1"/>
        </w:rPr>
        <w:t>dense</w:t>
      </w:r>
      <w:r w:rsidRPr="004A798F">
        <w:rPr>
          <w:color w:val="000000" w:themeColor="text1"/>
        </w:rPr>
        <w:t xml:space="preserve"> lamell</w:t>
      </w:r>
      <w:r>
        <w:rPr>
          <w:color w:val="000000" w:themeColor="text1"/>
        </w:rPr>
        <w:t>ae</w:t>
      </w:r>
      <w:r w:rsidRPr="004A798F">
        <w:rPr>
          <w:color w:val="000000" w:themeColor="text1"/>
        </w:rPr>
        <w:t>, resulting in game</w:t>
      </w:r>
      <w:r>
        <w:rPr>
          <w:color w:val="000000" w:themeColor="text1"/>
        </w:rPr>
        <w:t>-</w:t>
      </w:r>
      <w:r w:rsidRPr="004A798F">
        <w:rPr>
          <w:color w:val="000000" w:themeColor="text1"/>
        </w:rPr>
        <w:t xml:space="preserve">farm birds with </w:t>
      </w:r>
      <w:r>
        <w:rPr>
          <w:color w:val="000000" w:themeColor="text1"/>
        </w:rPr>
        <w:t xml:space="preserve">reduced </w:t>
      </w:r>
      <w:r w:rsidRPr="004A798F">
        <w:rPr>
          <w:color w:val="000000" w:themeColor="text1"/>
        </w:rPr>
        <w:t xml:space="preserve">lamellar density compared with wild conspecifics </w:t>
      </w:r>
      <w:r>
        <w:rPr>
          <w:color w:val="000000" w:themeColor="text1"/>
        </w:rPr>
        <w:fldChar w:fldCharType="begin"/>
      </w:r>
      <w:r>
        <w:rPr>
          <w:color w:val="000000" w:themeColor="text1"/>
        </w:rPr>
        <w:instrText xml:space="preserve"> ADDIN ZOTERO_ITEM CSL_CITATION {"citationID":"CjWHF8bW","properties":{"formattedCitation":"(Champagnon et al. 2010)","plainCitation":"(Champagnon et al. 2010)","noteIndex":0},"citationItems":[{"id":14,"uris":["http://zotero.org/users/local/qFeOLOrx/items/UH93MH36"],"itemData":{"id":14,"type":"article-journal","abstract":"Capsule Massive releases of captive‐reared Mallard for hunting purposes have been practiced for 30 years. During this period the number of lamellae per centimetre of bill length in wild Mallard populations has decreased. Aims Every year since the 1970s, several million captive Mallard have been released in Europe. This may lead to a spread of unnatural phenotypes into the wild. Nevertheless, the consequences of such introductions have not been examined. Methods Two widespread and common migratory ducks were studied: Mallard Anas platyrhynchos and Teal A. crecca. Mallard is the only duck species for which stocking programmes occur, and Teal served as a control. In a ‘before–after’ design, we compared duck bill lamellar density over the last 30 years. Results Lamellar density in Mallard, but not Teal, decreased. The observed 10% decrease occurred in the first (proximate) centimetre of the bill, the most crucial in terms of food filtration. Conclusions We hypothesize that the change in bill morphology was because of the propagation of captive Mallard into the wild: captive Mallard eat mainly large items, relaxing the natural selection pressure maintaining high lamellar density for sieving small prey in wild ducks.","container-title":"Bird Study","DOI":"10.1080/00063657.2010.486028","ISSN":"0006-3657","issue":"3","note":"publisher: Taylor &amp; Francis\n_eprint: https://doi.org/10.1080/00063657.2010.486028","page":"344-351","source":"Taylor and Francis+NEJM","title":"Changes in Mallard Anas platyrhynchos bill morphology after 30 years of supplemental stocking","volume":"57","author":[{"family":"Champagnon","given":"Jocelyn"},{"family":"Guillemain","given":"Matthieu"},{"family":"Elmberg","given":"Johan"},{"family":"Folkesson","given":"Karin"},{"family":"Gauthier‐Clerc","given":"Michel"}],"issued":{"date-parts":[["2010",8,1]]}}}],"schema":"https://github.com/citation-style-language/schema/raw/master/csl-citation.json"} </w:instrText>
      </w:r>
      <w:r>
        <w:rPr>
          <w:color w:val="000000" w:themeColor="text1"/>
        </w:rPr>
        <w:fldChar w:fldCharType="separate"/>
      </w:r>
      <w:r>
        <w:rPr>
          <w:noProof/>
          <w:color w:val="000000" w:themeColor="text1"/>
        </w:rPr>
        <w:t>(Champagnon et al. 2010)</w:t>
      </w:r>
      <w:r>
        <w:rPr>
          <w:color w:val="000000" w:themeColor="text1"/>
        </w:rPr>
        <w:fldChar w:fldCharType="end"/>
      </w:r>
      <w:r>
        <w:rPr>
          <w:color w:val="000000" w:themeColor="text1"/>
        </w:rPr>
        <w:t>.</w:t>
      </w:r>
      <w:r w:rsidRPr="004A798F" w:rsidDel="009C4A7E">
        <w:rPr>
          <w:color w:val="000000" w:themeColor="text1"/>
        </w:rPr>
        <w:t xml:space="preserve"> </w:t>
      </w:r>
      <w:r>
        <w:rPr>
          <w:color w:val="000000" w:themeColor="text1"/>
        </w:rPr>
        <w:t>Reduced</w:t>
      </w:r>
      <w:r w:rsidRPr="004A798F">
        <w:rPr>
          <w:color w:val="000000" w:themeColor="text1"/>
        </w:rPr>
        <w:t xml:space="preserve"> lamellar density </w:t>
      </w:r>
      <w:r>
        <w:rPr>
          <w:color w:val="000000" w:themeColor="text1"/>
        </w:rPr>
        <w:t>has been detected in the</w:t>
      </w:r>
      <w:r w:rsidRPr="004A798F">
        <w:rPr>
          <w:color w:val="000000" w:themeColor="text1"/>
        </w:rPr>
        <w:t xml:space="preserve"> proximate part of the bill, where water is expelled during  filtration and where lamellae </w:t>
      </w:r>
      <w:r>
        <w:rPr>
          <w:color w:val="000000" w:themeColor="text1"/>
        </w:rPr>
        <w:t xml:space="preserve">typically </w:t>
      </w:r>
      <w:r w:rsidRPr="004A798F">
        <w:rPr>
          <w:color w:val="000000" w:themeColor="text1"/>
        </w:rPr>
        <w:t xml:space="preserve">are densest </w:t>
      </w:r>
      <w:r>
        <w:rPr>
          <w:color w:val="000000" w:themeColor="text1"/>
        </w:rPr>
        <w:fldChar w:fldCharType="begin"/>
      </w:r>
      <w:r>
        <w:rPr>
          <w:color w:val="000000" w:themeColor="text1"/>
        </w:rPr>
        <w:instrText xml:space="preserve"> ADDIN ZOTERO_ITEM CSL_CITATION {"citationID":"qFtScSjA","properties":{"formattedCitation":"(Champagnon et al. 2010)","plainCitation":"(Champagnon et al. 2010)","noteIndex":0},"citationItems":[{"id":14,"uris":["http://zotero.org/users/local/qFeOLOrx/items/UH93MH36"],"itemData":{"id":14,"type":"article-journal","abstract":"Capsule Massive releases of captive‐reared Mallard for hunting purposes have been practiced for 30 years. During this period the number of lamellae per centimetre of bill length in wild Mallard populations has decreased. Aims Every year since the 1970s, several million captive Mallard have been released in Europe. This may lead to a spread of unnatural phenotypes into the wild. Nevertheless, the consequences of such introductions have not been examined. Methods Two widespread and common migratory ducks were studied: Mallard Anas platyrhynchos and Teal A. crecca. Mallard is the only duck species for which stocking programmes occur, and Teal served as a control. In a ‘before–after’ design, we compared duck bill lamellar density over the last 30 years. Results Lamellar density in Mallard, but not Teal, decreased. The observed 10% decrease occurred in the first (proximate) centimetre of the bill, the most crucial in terms of food filtration. Conclusions We hypothesize that the change in bill morphology was because of the propagation of captive Mallard into the wild: captive Mallard eat mainly large items, relaxing the natural selection pressure maintaining high lamellar density for sieving small prey in wild ducks.","container-title":"Bird Study","DOI":"10.1080/00063657.2010.486028","ISSN":"0006-3657","issue":"3","note":"publisher: Taylor &amp; Francis\n_eprint: https://doi.org/10.1080/00063657.2010.486028","page":"344-351","source":"Taylor and Francis+NEJM","title":"Changes in Mallard Anas platyrhynchos bill morphology after 30 years of supplemental stocking","volume":"57","author":[{"family":"Champagnon","given":"Jocelyn"},{"family":"Guillemain","given":"Matthieu"},{"family":"Elmberg","given":"Johan"},{"family":"Folkesson","given":"Karin"},{"family":"Gauthier‐Clerc","given":"Michel"}],"issued":{"date-parts":[["2010",8,1]]}}}],"schema":"https://github.com/citation-style-language/schema/raw/master/csl-citation.json"} </w:instrText>
      </w:r>
      <w:r>
        <w:rPr>
          <w:color w:val="000000" w:themeColor="text1"/>
        </w:rPr>
        <w:fldChar w:fldCharType="separate"/>
      </w:r>
      <w:r>
        <w:rPr>
          <w:noProof/>
          <w:color w:val="000000" w:themeColor="text1"/>
        </w:rPr>
        <w:t>(Champagnon et al. 2010)</w:t>
      </w:r>
      <w:r>
        <w:rPr>
          <w:color w:val="000000" w:themeColor="text1"/>
        </w:rPr>
        <w:fldChar w:fldCharType="end"/>
      </w:r>
      <w:r>
        <w:rPr>
          <w:color w:val="000000" w:themeColor="text1"/>
        </w:rPr>
        <w:t>. Moreover, European game-farm mallards also had shorter and taller bills, resulting in a comparable goose-like bill (</w:t>
      </w:r>
      <w:proofErr w:type="spellStart"/>
      <w:r w:rsidRPr="00D505FE">
        <w:rPr>
          <w:i/>
          <w:iCs/>
          <w:color w:val="000000" w:themeColor="text1"/>
        </w:rPr>
        <w:t>Anser</w:t>
      </w:r>
      <w:proofErr w:type="spellEnd"/>
      <w:r>
        <w:rPr>
          <w:color w:val="000000" w:themeColor="text1"/>
        </w:rPr>
        <w:t xml:space="preserve"> spp.) </w:t>
      </w:r>
      <w:r w:rsidRPr="00A25460">
        <w:rPr>
          <w:color w:val="000000" w:themeColor="text1"/>
        </w:rPr>
        <w:t xml:space="preserve"> </w:t>
      </w:r>
      <w:r>
        <w:rPr>
          <w:color w:val="000000" w:themeColor="text1"/>
        </w:rPr>
        <w:fldChar w:fldCharType="begin"/>
      </w:r>
      <w:r>
        <w:rPr>
          <w:color w:val="000000" w:themeColor="text1"/>
        </w:rPr>
        <w:instrText xml:space="preserve"> ADDIN ZOTERO_ITEM CSL_CITATION {"citationID":"ncHtGKAc","properties":{"formattedCitation":"(S\\uc0\\u246{}derquist et al. 2014)","plainCitation":"(Söderquist et al. 2014)","noteIndex":0},"citationItems":[{"id":50,"uris":["http://zotero.org/users/local/qFeOLOrx/items/QB7UNL89"],"itemData":{"id":50,"type":"article-journal","abstract":"Wild populations of the world’s most common dabbling duck, the mallard (Anas platyrhynchos), run the risk of genetic introgression by farmed conspecifics released for hunting purposes. We tested whether bill morphology of free-living birds has changed since large-scale releases of farmed mallards started. Three groups of mallards from Sweden, Norway and Finland were compared: historical wild (before large-scale releases started), present-day wild, and present-day farmed. Higher density of bill lamellae was observed in historical wild mallards (only males). Farmed mallards had wider bills than present-day and historical wild ones. Present-day wild and farmed mallards also had higher and shorter bills than historical wild mallards. Present-day mallards thus tend to have more “goose-like” bills (wider, higher, and shorter) than their ancestors. Our study suggests that surviving released mallards affect morphological traits in wild population by introgression. We discuss how such anthropogenic impact may lead to a maladapted and genetically compromised wild mallard population. Our study system has bearing on other taxa where large-scale releases of conspecifics with ‘alien genes’ may cause a cryptic invasive process that nevertheless has fitness consequences for individual birds.","container-title":"PLOS ONE","DOI":"10.1371/journal.pone.0115143","ISSN":"1932-6203","issue":"12","journalAbbreviation":"PLOS ONE","language":"en","note":"publisher: Public Library of Science","page":"e115143","source":"PLoS Journals","title":"Wild Mallards Have More “Goose-Like” Bills Than Their Ancestors: A Case of Anthropogenic Influence?","title-short":"Wild Mallards Have More “Goose-Like” Bills Than Their Ancestors","volume":"9","author":[{"family":"Söderquist","given":"Pär"},{"family":"Norrström","given":"Joanna"},{"family":"Elmberg","given":"Johan"},{"family":"Guillemain","given":"Matthieu"},{"family":"Gunnarsson","given":"Gunnar"}],"issued":{"date-parts":[["2014",12,16]]}}}],"schema":"https://github.com/citation-style-language/schema/raw/master/csl-citation.json"} </w:instrText>
      </w:r>
      <w:r>
        <w:rPr>
          <w:color w:val="000000" w:themeColor="text1"/>
        </w:rPr>
        <w:fldChar w:fldCharType="separate"/>
      </w:r>
      <w:r w:rsidRPr="009C4A7E">
        <w:rPr>
          <w:color w:val="000000"/>
        </w:rPr>
        <w:t>(Söderquist et al. 2014)</w:t>
      </w:r>
      <w:r>
        <w:rPr>
          <w:color w:val="000000" w:themeColor="text1"/>
        </w:rPr>
        <w:fldChar w:fldCharType="end"/>
      </w:r>
      <w:r>
        <w:rPr>
          <w:color w:val="000000" w:themeColor="text1"/>
        </w:rPr>
        <w:t xml:space="preserve">.  These traits </w:t>
      </w:r>
      <w:proofErr w:type="spellStart"/>
      <w:r>
        <w:rPr>
          <w:color w:val="000000" w:themeColor="text1"/>
        </w:rPr>
        <w:t>introgress</w:t>
      </w:r>
      <w:proofErr w:type="spellEnd"/>
      <w:r>
        <w:rPr>
          <w:color w:val="000000" w:themeColor="text1"/>
        </w:rPr>
        <w:t xml:space="preserve"> into the European wild populations via significant rates of hybridization occurring in modern mallards, such as in mallards harvested from the Camargue of southern France </w:t>
      </w:r>
      <w:r>
        <w:rPr>
          <w:color w:val="000000" w:themeColor="text1"/>
        </w:rPr>
        <w:fldChar w:fldCharType="begin"/>
      </w:r>
      <w:r w:rsidR="00906BB9">
        <w:rPr>
          <w:color w:val="000000" w:themeColor="text1"/>
        </w:rPr>
        <w:instrText xml:space="preserve"> ADDIN ZOTERO_ITEM CSL_CITATION {"citationID":"Lt3fOALY","properties":{"formattedCitation":"(Champagnon et al. 2013)","plainCitation":"(Champagnon et al. 2013)","noteIndex":0},"citationItems":[{"id":253,"uris":["http://zotero.org/users/local/qFeOLOrx/items/YBLAHQ55"],"itemData":{"id":253,"type":"article-journal","abstract":"Captive-bred mallards Anas platyrhynchos have been released for hunting purposes at a very large scale in Europe since the mid-1970s. In spite of a potential genetic impact, the actual contribution of restocked mallards to the genome of the target population has received little attention. The genetic structure of modern wild mallards in the Camargue, Southern France, was assessed from two samples: one originating from shot birds in hunting bags and one from presumed wild ducks captured alive in a hunting-free reserve. Reference samples originated from five mallard farms, as well as from museum samples collected before the mid-1970s (i.e. before massive mallard releases started). Our results revealed that the genetic signature of wild wintering mallards has not changed significantly because museum and presumed wild samples from the Camargue hunting-free nature reserve were genetically similar, and clearly differentiated from the farm mallards. This suggests that mallard releases in the Camargue or elsewhere in France, although massive, have not actually translated into complete admixture of wild and captive genomes, most likely due to low survival of released birds once in the wild. Nevertheless, although genetic introgression of the wild population by captive-bred was contained, we found significant rates of hybridization between wild and captive-bred mallards in modern samples. This result suggests that long-term releases of captive-bred mallards, if carried on at such large scale, could compromise irreversibly the genetic structure and composition of European mallards. This work contributes to fill in the gap on the monitoring of the genetic consequences of large-scale game releases for exploitation.","container-title":"Animal Conservation","DOI":"10.1111/j.1469-1795.2012.00600.x","ISSN":"1469-1795","issue":"3","language":"en","note":"_eprint: https://onlinelibrary.wiley.com/doi/pdf/10.1111/j.1469-1795.2012.00600.x","page":"295-305","source":"Wiley Online Library","title":"Assessing the genetic impact of massive restocking on wild mallard","volume":"16","author":[{"family":"Champagnon","given":"J."},{"family":"Crochet","given":"P-A."},{"family":"Kreisinger","given":"J."},{"family":"Čížková","given":"D."},{"family":"Gauthier-Clerc","given":"M."},{"family":"Massez","given":"G."},{"family":"Söderquist","given":"P."},{"family":"Albrecht","given":"T."},{"family":"Guillemain","given":"M."}],"issued":{"date-parts":[["2013"]]}}}],"schema":"https://github.com/citation-style-language/schema/raw/master/csl-citation.json"} </w:instrText>
      </w:r>
      <w:r>
        <w:rPr>
          <w:color w:val="000000" w:themeColor="text1"/>
        </w:rPr>
        <w:fldChar w:fldCharType="separate"/>
      </w:r>
      <w:r w:rsidR="00906BB9">
        <w:rPr>
          <w:noProof/>
          <w:color w:val="000000" w:themeColor="text1"/>
        </w:rPr>
        <w:t>(Champagnon et al. 2013)</w:t>
      </w:r>
      <w:r>
        <w:rPr>
          <w:color w:val="000000" w:themeColor="text1"/>
        </w:rPr>
        <w:fldChar w:fldCharType="end"/>
      </w:r>
      <w:r>
        <w:rPr>
          <w:color w:val="000000" w:themeColor="text1"/>
        </w:rPr>
        <w:t>.</w:t>
      </w:r>
    </w:p>
    <w:p w14:paraId="5AF3158C" w14:textId="77777777" w:rsidR="00BA4B65" w:rsidRPr="001A06C8" w:rsidRDefault="00BA4B65" w:rsidP="00BA4B65">
      <w:pPr>
        <w:ind w:firstLine="810"/>
        <w:rPr>
          <w:color w:val="000000" w:themeColor="text1"/>
        </w:rPr>
      </w:pPr>
      <w:r>
        <w:rPr>
          <w:color w:val="000000" w:themeColor="text1"/>
        </w:rPr>
        <w:t>In North America</w:t>
      </w:r>
      <w:r w:rsidRPr="00A25460">
        <w:rPr>
          <w:color w:val="000000" w:themeColor="text1"/>
        </w:rPr>
        <w:t xml:space="preserve">, </w:t>
      </w:r>
      <w:r>
        <w:rPr>
          <w:color w:val="000000" w:themeColor="text1"/>
        </w:rPr>
        <w:t xml:space="preserve">hundreds of thousands of </w:t>
      </w:r>
      <w:r w:rsidRPr="00A25460">
        <w:rPr>
          <w:color w:val="000000" w:themeColor="text1"/>
        </w:rPr>
        <w:t>game-farm mallards</w:t>
      </w:r>
      <w:r>
        <w:rPr>
          <w:color w:val="000000" w:themeColor="text1"/>
        </w:rPr>
        <w:t xml:space="preserve"> are annually released by state agencies and private individuals.  Today, game-farm mallards</w:t>
      </w:r>
      <w:r w:rsidRPr="00A25460">
        <w:rPr>
          <w:color w:val="000000" w:themeColor="text1"/>
        </w:rPr>
        <w:t xml:space="preserve"> continue to be released annually</w:t>
      </w:r>
      <w:r>
        <w:rPr>
          <w:color w:val="000000" w:themeColor="text1"/>
        </w:rPr>
        <w:t xml:space="preserve"> by private individuals</w:t>
      </w:r>
      <w:r w:rsidRPr="00A25460">
        <w:rPr>
          <w:color w:val="000000" w:themeColor="text1"/>
        </w:rPr>
        <w:t xml:space="preserve"> to supplement wild stocks and for recreational </w:t>
      </w:r>
      <w:r w:rsidRPr="00575B91">
        <w:rPr>
          <w:color w:val="000000" w:themeColor="text1"/>
        </w:rPr>
        <w:t>harvest (Virginia DNR 2007, USFWS 2013).</w:t>
      </w:r>
      <w:r w:rsidRPr="00A25460">
        <w:rPr>
          <w:color w:val="000000" w:themeColor="text1"/>
        </w:rPr>
        <w:t xml:space="preserve"> </w:t>
      </w:r>
      <w:r>
        <w:rPr>
          <w:color w:val="000000" w:themeColor="text1"/>
        </w:rPr>
        <w:t>These releases have resulted in</w:t>
      </w:r>
      <w:r w:rsidRPr="00A25460">
        <w:rPr>
          <w:color w:val="000000" w:themeColor="text1"/>
        </w:rPr>
        <w:t xml:space="preserve"> Atlantic </w:t>
      </w:r>
      <w:r>
        <w:rPr>
          <w:color w:val="000000" w:themeColor="text1"/>
        </w:rPr>
        <w:t>f</w:t>
      </w:r>
      <w:r w:rsidRPr="00A25460">
        <w:rPr>
          <w:color w:val="000000" w:themeColor="text1"/>
        </w:rPr>
        <w:t>lyway mallard</w:t>
      </w:r>
      <w:r>
        <w:rPr>
          <w:color w:val="000000" w:themeColor="text1"/>
        </w:rPr>
        <w:t>s</w:t>
      </w:r>
      <w:r w:rsidRPr="00A25460">
        <w:rPr>
          <w:color w:val="000000" w:themeColor="text1"/>
        </w:rPr>
        <w:t xml:space="preserve"> </w:t>
      </w:r>
      <w:r>
        <w:rPr>
          <w:color w:val="000000" w:themeColor="text1"/>
        </w:rPr>
        <w:t>being a</w:t>
      </w:r>
      <w:r w:rsidRPr="00A25460">
        <w:rPr>
          <w:color w:val="000000" w:themeColor="text1"/>
        </w:rPr>
        <w:t xml:space="preserve"> hybrid swarm of wild and game-farm mallard</w:t>
      </w:r>
      <w:r>
        <w:rPr>
          <w:color w:val="000000" w:themeColor="text1"/>
        </w:rPr>
        <w:t xml:space="preserve"> genes</w:t>
      </w:r>
      <w:r w:rsidRPr="00A25460">
        <w:rPr>
          <w:color w:val="000000" w:themeColor="text1"/>
        </w:rPr>
        <w:t xml:space="preserve">, with many areas of the Atlantic coast exceeding 90% </w:t>
      </w:r>
      <w:r w:rsidRPr="003924BE">
        <w:rPr>
          <w:color w:val="000000" w:themeColor="text1"/>
        </w:rPr>
        <w:t>Old World A</w:t>
      </w:r>
      <w:r>
        <w:rPr>
          <w:color w:val="000000" w:themeColor="text1"/>
        </w:rPr>
        <w:t>, game-farm</w:t>
      </w:r>
      <w:r w:rsidRPr="00A25460">
        <w:rPr>
          <w:color w:val="000000" w:themeColor="text1"/>
        </w:rPr>
        <w:t xml:space="preserve"> haplotype</w:t>
      </w:r>
      <w:r>
        <w:rPr>
          <w:color w:val="000000" w:themeColor="text1"/>
        </w:rPr>
        <w:t xml:space="preserve"> </w:t>
      </w:r>
      <w:r>
        <w:rPr>
          <w:color w:val="000000" w:themeColor="text1"/>
        </w:rPr>
        <w:fldChar w:fldCharType="begin"/>
      </w:r>
      <w:r>
        <w:rPr>
          <w:color w:val="000000" w:themeColor="text1"/>
        </w:rPr>
        <w:instrText xml:space="preserve"> ADDIN ZOTERO_ITEM CSL_CITATION {"citationID":"sKWcUHFO","properties":{"formattedCitation":"(Lavretsky et al. 2020)","plainCitation":"(Lavretsky et al. 2020)","noteIndex":0},"citationItems":[{"id":122,"uris":["http://zotero.org/users/local/qFeOLOrx/items/BBFDLHTN"],"itemData":{"id":122,"type":"article-journal","abstract":"Along with manipulating habitat, the direct release of domesticated individuals into the wild is a practice used worldwide to augment wildlife populations. We test between possible outcomes of human-mediated secondary contact using genomic techniques at both historical and contemporary timescales for two iconic duck species. First, we sequence several thousand ddRAD-seq loci for contemporary mallards (Anas platyrhynchos) throughout North America and two domestic mallard types (i.e., known game-farm mallards and feral Khaki Campbell's). We show that North American mallards may well be becoming a hybrid swarm due to interbreeding with domesticated game-farm mallards released for hunting. Next, to attain a historical perspective, we applied a bait-capture array targeting thousands of loci in century-old (1842–1915) and contemporary (2009–2010) mallard and American black duck (Anas rubripes) specimens. We conclude that American black ducks and mallards have always been closely related, with a divergence time of 600,000 years before present, and likely evolved through prolonged isolation followed by limited bouts of gene flow (i.e., secondary contact). They continue to maintain genetic separation, a finding that overturns decades of prior research and speculation suggesting the genetic extinction of the American black duck due to contemporary interbreeding with mallards. Thus, despite having high rates of hybridization, actual gene flow is limited between mallards and American black ducks. Conversely, our historical and contemporary data confirm that the intensive stocking of game-farm mallards during the last 100 years has fundamentally changed the genetic integrity of North America's wild mallard population, especially in the east. It thus becomes of great interest to ask whether the iconic North American mallard is declining in the wild due to introgression of maladaptive traits from domesticated forms. Moreover, we hypothesize that differential gene flow from domestic game-farm mallards into the wild mallard population may explain the overall temporal increase in differentiation between wild black ducks and mallards, as well as the uncoupling of genetic diversity and effective population size estimates across time in our results. Finally, our findings highlight how genomic methods can recover complex population histories by capturing DNA preserved in traditional museum specimens.","container-title":"Molecular Ecology","DOI":"10.1111/mec.15343","ISSN":"1365-294X","issue":"3","language":"en","note":"_eprint: https://onlinelibrary.wiley.com/doi/pdf/10.1111/mec.15343","page":"578-595","source":"Wiley Online Library","title":"Assessing changes in genomic divergence following a century of human-mediated secondary contact among wild and captive-bred ducks","volume":"29","author":[{"family":"Lavretsky","given":"Philip"},{"family":"McInerney","given":"Nancy Rotzel"},{"family":"Mohl","given":"Jonathon E."},{"family":"Brown","given":"Joshua I."},{"family":"James","given":"Helen F."},{"family":"McCracken","given":"Kevin G."},{"family":"Fleischer","given":"Robert C."}],"issued":{"date-parts":[["2020"]]}}}],"schema":"https://github.com/citation-style-language/schema/raw/master/csl-citation.json"} </w:instrText>
      </w:r>
      <w:r>
        <w:rPr>
          <w:color w:val="000000" w:themeColor="text1"/>
        </w:rPr>
        <w:fldChar w:fldCharType="separate"/>
      </w:r>
      <w:r>
        <w:rPr>
          <w:noProof/>
          <w:color w:val="000000" w:themeColor="text1"/>
        </w:rPr>
        <w:t>(Lavretsky et al. 2020)</w:t>
      </w:r>
      <w:r>
        <w:rPr>
          <w:color w:val="000000" w:themeColor="text1"/>
        </w:rPr>
        <w:fldChar w:fldCharType="end"/>
      </w:r>
      <w:r>
        <w:rPr>
          <w:color w:val="000000" w:themeColor="text1"/>
        </w:rPr>
        <w:t xml:space="preserve">. </w:t>
      </w:r>
      <w:r w:rsidRPr="00A25460">
        <w:rPr>
          <w:color w:val="000000" w:themeColor="text1"/>
        </w:rPr>
        <w:t>This is  concern</w:t>
      </w:r>
      <w:r>
        <w:rPr>
          <w:color w:val="000000" w:themeColor="text1"/>
        </w:rPr>
        <w:t>ing</w:t>
      </w:r>
      <w:r w:rsidRPr="00A25460">
        <w:rPr>
          <w:color w:val="000000" w:themeColor="text1"/>
        </w:rPr>
        <w:t xml:space="preserve"> because negative effects </w:t>
      </w:r>
      <w:r>
        <w:rPr>
          <w:color w:val="000000" w:themeColor="text1"/>
        </w:rPr>
        <w:t xml:space="preserve">(e.g., bill morphology) </w:t>
      </w:r>
      <w:r w:rsidRPr="00A25460">
        <w:rPr>
          <w:color w:val="000000" w:themeColor="text1"/>
        </w:rPr>
        <w:t xml:space="preserve">of frequent interbreeding of game-farm with wild congeners </w:t>
      </w:r>
      <w:r>
        <w:rPr>
          <w:color w:val="000000" w:themeColor="text1"/>
        </w:rPr>
        <w:t xml:space="preserve">may be evident in only two </w:t>
      </w:r>
      <w:r w:rsidRPr="00A25460">
        <w:rPr>
          <w:color w:val="000000" w:themeColor="text1"/>
        </w:rPr>
        <w:t xml:space="preserve">generations </w:t>
      </w:r>
      <w:r>
        <w:rPr>
          <w:color w:val="000000" w:themeColor="text1"/>
        </w:rPr>
        <w:t xml:space="preserve">later </w:t>
      </w:r>
      <w:r>
        <w:rPr>
          <w:color w:val="000000" w:themeColor="text1"/>
        </w:rPr>
        <w:fldChar w:fldCharType="begin"/>
      </w:r>
      <w:r>
        <w:rPr>
          <w:color w:val="000000" w:themeColor="text1"/>
        </w:rPr>
        <w:instrText xml:space="preserve"> ADDIN ZOTERO_ITEM CSL_CITATION {"citationID":"orK0sPQr","properties":{"formattedCitation":"(Araki et al. 2007, Ellison and Burton 2008)","plainCitation":"(Araki et al. 2007, Ellison and Burton 2008)","noteIndex":0},"citationItems":[{"id":5,"uris":["http://zotero.org/users/local/qFeOLOrx/items/377ZS2R6"],"itemData":{"id":5,"type":"article-journal","abstract":"Captive breeding is used to supplement populations of many species that are declining in the wild. The suitability of and long-term species survival from such programs remain largely untested, however. We measured lifetime reproductive success of two generations of steelhead trout that were reared in captivity and bred in the wild after they were released. By reconstructing a three-generation with microsatellite markers, we show that genetic effects of domestication reduce subsequent reproductive capabilities by </w:instrText>
      </w:r>
      <w:r>
        <w:rPr>
          <w:rFonts w:ascii="Cambria Math" w:hAnsi="Cambria Math" w:cs="Cambria Math"/>
          <w:color w:val="000000" w:themeColor="text1"/>
        </w:rPr>
        <w:instrText>∼</w:instrText>
      </w:r>
      <w:r>
        <w:rPr>
          <w:color w:val="000000" w:themeColor="text1"/>
        </w:rPr>
        <w:instrText xml:space="preserve">40% per captive-reared generation when fish are moved to environments. These suggest that even a few generations of domestication may have negative effects on reproduction in the wild and that the repeated use of captive-reared parents to supplement wild populations should be carefully reconsidered.","container-title":"Science","DOI":"10.1126/science.1145621","ISSN":"0036-8075, 1095-9203","issue":"5847","language":"en","license":"American Association for the Advancement of Science","note":"publisher: American Association for the Advancement of Science\nsection: Report\nPMID: 17916734","page":"100-103","source":"science.sciencemag.org","title":"Genetic Effects of Captive Breeding Cause a Rapid, Cumulative Fitness Decline in the Wild","volume":"318","author":[{"family":"Araki","given":"Hitoshi"},{"family":"Cooper","given":"Becky"},{"family":"Blouin","given":"Michael S."}],"issued":{"date-parts":[["2007",10,5]]}}},{"id":24,"uris":["http://zotero.org/users/local/qFeOLOrx/items/GLEJBMZM"],"itemData":{"id":24,"type":"article-journal","abstract":"Hybrid breakdown, or outbreeding depression, is the loss of fitness observed in crosses between genetically divergent populations. The role of maternally inherited mitochondrial genomes in hybrid breakdown has not been widely examined. Using laboratory crosses of the marine copepod Tigriopus californicus, we report that the low fitness of F3 hybrids is completely restored in the offspring of maternal backcrosses, where parental mitochondrial and nuclear genomic combinations are reassembled. Paternal backcrosses, which result in mismatched mitochondrial and nuclear genomes, fail to restore hybrid fitness. These results suggest that fitness loss in T. californicus hybrids is completely attributable to nuclear–mitochondrial genomic interactions. Analyses of ATP synthetic capacity in isolated mitochondria from hybrid and backcross animals found that reduced ATP synthesis in hybrids was also largely restored in backcrosses, again with maternal backcrosses outperforming paternal backcrosses. The strong fitness consequences of nuclear–mitochondrial interactions have important, and often overlooked, implications for evolutionary and conservation biology.","container-title":"Evolution","DOI":"https://doi.org/10.1111/j.1558-5646.2007.00305.x","ISSN":"1558-5646","issue":"3","language":"en","license":"©2008 The Author(s). Journal compilation © 2008 The Society for the Study of Evolution.","note":"_eprint: https://onlinelibrary.wiley.com/doi/pdf/10.1111/j.1558-5646.2007.00305.x","page":"631-638","source":"Wiley Online Library","title":"Interpopulation Hybrid Breakdown Maps to the Mitochondrial Genome","volume":"62","author":[{"family":"Ellison","given":"Christopher K."},{"family":"Burton","given":"Ronald S."}],"issued":{"date-parts":[["2008"]]}}}],"schema":"https://github.com/citation-style-language/schema/raw/master/csl-citation.json"} </w:instrText>
      </w:r>
      <w:r>
        <w:rPr>
          <w:color w:val="000000" w:themeColor="text1"/>
        </w:rPr>
        <w:fldChar w:fldCharType="separate"/>
      </w:r>
      <w:r>
        <w:rPr>
          <w:noProof/>
          <w:color w:val="000000" w:themeColor="text1"/>
        </w:rPr>
        <w:t>(Araki et al. 2007, Ellison and Burton 2008)</w:t>
      </w:r>
      <w:r>
        <w:rPr>
          <w:color w:val="000000" w:themeColor="text1"/>
        </w:rPr>
        <w:fldChar w:fldCharType="end"/>
      </w:r>
      <w:r w:rsidRPr="00A25460">
        <w:rPr>
          <w:color w:val="000000" w:themeColor="text1"/>
        </w:rPr>
        <w:t xml:space="preserve">. Differences in </w:t>
      </w:r>
      <w:r>
        <w:rPr>
          <w:color w:val="000000" w:themeColor="text1"/>
        </w:rPr>
        <w:t xml:space="preserve">body size and </w:t>
      </w:r>
      <w:r w:rsidRPr="00A25460">
        <w:rPr>
          <w:color w:val="000000" w:themeColor="text1"/>
        </w:rPr>
        <w:t xml:space="preserve">bill morphology between wild and game-farm mallards and changes in bill morphology from introgression of game-farm into the wild mallard population is well-documented in Europe </w:t>
      </w:r>
      <w:r>
        <w:rPr>
          <w:color w:val="000000" w:themeColor="text1"/>
        </w:rPr>
        <w:fldChar w:fldCharType="begin"/>
      </w:r>
      <w:r>
        <w:rPr>
          <w:color w:val="000000" w:themeColor="text1"/>
        </w:rPr>
        <w:instrText xml:space="preserve"> ADDIN ZOTERO_ITEM CSL_CITATION {"citationID":"iKEsXLNA","properties":{"formattedCitation":"(Champagnon et al. 2010, \\uc0\\u268{}\\uc0\\u237{}\\uc0\\u382{}kov\\uc0\\u225{} et al. 2012, S\\uc0\\u246{}derquist et al. 2014)","plainCitation":"(Champagnon et al. 2010, Čížková et al. 2012, Söderquist et al. 2014)","noteIndex":0},"citationItems":[{"id":14,"uris":["http://zotero.org/users/local/qFeOLOrx/items/UH93MH36"],"itemData":{"id":14,"type":"article-journal","abstract":"Capsule Massive releases of captive‐reared Mallard for hunting purposes have been practiced for 30 years. During this period the number of lamellae per centimetre of bill length in wild Mallard populations has decreased. Aims Every year since the 1970s, several million captive Mallard have been released in Europe. This may lead to a spread of unnatural phenotypes into the wild. Nevertheless, the consequences of such introductions have not been examined. Methods Two widespread and common migratory ducks were studied: Mallard Anas platyrhynchos and Teal A. crecca. Mallard is the only duck species for which stocking programmes occur, and Teal served as a control. In a ‘before–after’ design, we compared duck bill lamellar density over the last 30 years. Results Lamellar density in Mallard, but not Teal, decreased. The observed 10% decrease occurred in the first (proximate) centimetre of the bill, the most crucial in terms of food filtration. Conclusions We hypothesize that the change in bill morphology was because of the propagation of captive Mallard into the wild: captive Mallard eat mainly large items, relaxing the natural selection pressure maintaining high lamellar density for sieving small prey in wild ducks.","container-title":"Bird Study","DOI":"10.1080/00063657.2010.486028","ISSN":"0006-3657","issue":"3","note":"publisher: Taylor &amp; Francis\n_eprint: https://doi.org/10.1080/00063657.2010.486028","page":"344-351","source":"Taylor and Francis+NEJM","title":"Changes in Mallard Anas platyrhynchos bill morphology after 30 years of supplemental stocking","volume":"57","author":[{"family":"Champagnon","given":"Jocelyn"},{"family":"Guillemain","given":"Matthieu"},{"family":"Elmberg","given":"Johan"},{"family":"Folkesson","given":"Karin"},{"family":"Gauthier‐Clerc","given":"Michel"}],"issued":{"date-parts":[["2010",8,1]]}}},{"id":17,"uris":["http://zotero.org/users/local/qFeOLOrx/items/UVHZXZBG"],"itemData":{"id":17,"type":"article-journal","abstract":"The genetic integrity of natural populations can be threatened through large-scale introduction of farmed stocks with different genetic or geographic origin. Huge numbers of farm-reared mallard (Anas platyrhynchos, Anatidae) have been introduced into the wild in many European countries since 1970. Czech breeding facilities currently produce around 200–300,000 ducks annually, exceeding wild numbers by around 10 times. Such facilities, however, were founded with hybrid ducks from outside the Czech Republic. Three types of DNA markers, two neutral (14 microsatellite DNA loci and the mitochondrial DNA control region) and one under selection (MHC class I locus), were used to genotype mallards from six Czech breeding facilities (n=131) and seven wild nesting localities (n=139). We found marked genetic divergence between wild and captive-bred populations, the latter having significantly lower genetic diversity. Released captive-bred mallards were integrated into breeding wild population through hybridization mediated by high frequency nesting. Overall, our data suggest that release of captive-bred individuals threatens the genetic integrity of wild population. Massive restocking may also be undesirable as regards public health. Waterfowl are known reservoirs of transmittable pathogens and large-scale restocking could alter immune defence gene frequencies in wild population. We propose the establishment of a national genetic monitoring programme for breeding facilities.","container-title":"Biological Conservation","DOI":"10.1016/j.biocon.2012.04.008","ISSN":"0006-3207","journalAbbreviation":"Biological Conservation","language":"en","page":"231-240","source":"ScienceDirect","title":"Duck’s not dead: Does restocking with captive bred individuals affect the genetic integrity of wild mallard (Anas platyrhynchos) population?","title-short":"Duck’s not dead","volume":"152","author":[{"family":"Čížková","given":"Dagmar"},{"family":"Javůrková","given":"Veronika"},{"family":"Champagnon","given":"Jocelyn"},{"family":"Kreisinger","given":"Jakub"}],"issued":{"date-parts":[["2012",8,1]]}}},{"id":50,"uris":["http://zotero.org/users/local/qFeOLOrx/items/QB7UNL89"],"itemData":{"id":50,"type":"article-journal","abstract":"Wild populations of the world’s most common dabbling duck, the mallard (Anas platyrhynchos), run the risk of genetic introgression by farmed conspecifics released for hunting purposes. We tested whether bill morphology of free-living birds has changed since large-scale releases of farmed mallards started. Three groups of mallards from Sweden, Norway and Finland were compared: historical wild (before large-scale releases started), present-day wild, and present-day farmed. Higher density of bill lamellae was observed in historical wild mallards (only males). Farmed mallards had wider bills than present-day and historical wild ones. Present-day wild and farmed mallards also had higher and shorter bills than historical wild mallards. Present-day mallards thus tend to have more “goose-like” bills (wider, higher, and shorter) than their ancestors. Our study suggests that surviving released mallards affect morphological traits in wild population by introgression. We discuss how such anthropogenic impact may lead to a maladapted and genetically compromised wild mallard population. Our study system has bearing on other taxa where large-scale releases of conspecifics with ‘alien genes’ may cause a cryptic invasive process that nevertheless has fitness consequences for individual birds.","container-title":"PLOS ONE","DOI":"10.1371/journal.pone.0115143","ISSN":"1932-6203","issue":"12","journalAbbreviation":"PLOS ONE","language":"en","note":"publisher: Public Library of Science","page":"e115143","source":"PLoS Journals","title":"Wild Mallards Have More “Goose-Like” Bills Than Their Ancestors: A Case of Anthropogenic Influence?","title-short":"Wild Mallards Have More “Goose-Like” Bills Than Their Ancestors","volume":"9","author":[{"family":"Söderquist","given":"Pär"},{"family":"Norrström","given":"Joanna"},{"family":"Elmberg","given":"Johan"},{"family":"Guillemain","given":"Matthieu"},{"family":"Gunnarsson","given":"Gunnar"}],"issued":{"date-parts":[["2014",12,16]]}}}],"schema":"https://github.com/citation-style-language/schema/raw/master/csl-citation.json"} </w:instrText>
      </w:r>
      <w:r>
        <w:rPr>
          <w:color w:val="000000" w:themeColor="text1"/>
        </w:rPr>
        <w:fldChar w:fldCharType="separate"/>
      </w:r>
      <w:r w:rsidRPr="009C4A7E">
        <w:rPr>
          <w:color w:val="000000"/>
        </w:rPr>
        <w:t>(Champagnon et al. 2010, Čížková et al. 2012, Söderquist et al. 2014)</w:t>
      </w:r>
      <w:r>
        <w:rPr>
          <w:color w:val="000000" w:themeColor="text1"/>
        </w:rPr>
        <w:fldChar w:fldCharType="end"/>
      </w:r>
      <w:r>
        <w:rPr>
          <w:color w:val="000000" w:themeColor="text1"/>
        </w:rPr>
        <w:t>.</w:t>
      </w:r>
      <w:r w:rsidRPr="00A25460">
        <w:rPr>
          <w:color w:val="000000" w:themeColor="text1"/>
        </w:rPr>
        <w:t xml:space="preserve"> </w:t>
      </w:r>
      <w:r>
        <w:rPr>
          <w:color w:val="000000" w:themeColor="text1"/>
        </w:rPr>
        <w:t>However,</w:t>
      </w:r>
      <w:r w:rsidRPr="00A25460">
        <w:rPr>
          <w:color w:val="000000" w:themeColor="text1"/>
        </w:rPr>
        <w:t xml:space="preserve"> </w:t>
      </w:r>
      <w:r>
        <w:rPr>
          <w:color w:val="000000" w:themeColor="text1"/>
        </w:rPr>
        <w:t xml:space="preserve">potential </w:t>
      </w:r>
      <w:r w:rsidRPr="00A25460">
        <w:rPr>
          <w:color w:val="000000" w:themeColor="text1"/>
        </w:rPr>
        <w:t>morphological differences in North American mallards</w:t>
      </w:r>
      <w:r>
        <w:rPr>
          <w:color w:val="000000" w:themeColor="text1"/>
        </w:rPr>
        <w:t>, despite nearly 100 years of releases of game-farm into wild mallard populations, have not been investigated.</w:t>
      </w:r>
    </w:p>
    <w:p w14:paraId="294C6597" w14:textId="3CA709FD" w:rsidR="001F1B3C" w:rsidRDefault="001F1B3C" w:rsidP="001F1B3C">
      <w:pPr>
        <w:ind w:firstLine="720"/>
        <w:rPr>
          <w:color w:val="000000" w:themeColor="text1"/>
        </w:rPr>
      </w:pPr>
      <w:r w:rsidRPr="004D1CBC">
        <w:rPr>
          <w:color w:val="000000" w:themeColor="text1"/>
        </w:rPr>
        <w:t xml:space="preserve">My goal was to determine if morphology differed between wild and game-farm mallards. Consistent with Söderquist et al. (2014), I predicted that wild mallards would have greater overall body size than game-farm mallards because breeders want quickly growing ducks for sale. Similarly, to European literature, I also predicted that bills of game-farm mallards would be shorter, taller, and wider than wild mallards, possibly serving as a benefit when feeding on grains and pellets in captivity where straining is not needed like in the wild. I expected variation in morphology to be less in </w:t>
      </w:r>
      <w:proofErr w:type="gramStart"/>
      <w:r w:rsidRPr="004D1CBC">
        <w:rPr>
          <w:color w:val="000000" w:themeColor="text1"/>
        </w:rPr>
        <w:t>game-farm</w:t>
      </w:r>
      <w:proofErr w:type="gramEnd"/>
      <w:r w:rsidRPr="004D1CBC">
        <w:rPr>
          <w:color w:val="000000" w:themeColor="text1"/>
        </w:rPr>
        <w:t xml:space="preserve"> than wild mallards because of lower genetic diversity among individuals.</w:t>
      </w:r>
      <w:r>
        <w:rPr>
          <w:color w:val="000000" w:themeColor="text1"/>
        </w:rPr>
        <w:t xml:space="preserve"> I additionally aimed to </w:t>
      </w:r>
      <w:r w:rsidRPr="00493593">
        <w:rPr>
          <w:color w:val="000000" w:themeColor="text1"/>
        </w:rPr>
        <w:t>determine if feeding efficiency differed between wild and game-farm mallards. I predicted that wild mallards would feed more efficiently than game-farm mallards in substrate with seeds mimicking natural conditions. I further predicted the more goose-like bills of game-farm mallards (i.e., shorter, taller, and wider than wild mallards), would reduce their capacity to extract foods from substrate relative to wild mallards.</w:t>
      </w:r>
      <w:r>
        <w:rPr>
          <w:color w:val="000000" w:themeColor="text1"/>
        </w:rPr>
        <w:t xml:space="preserve">  </w:t>
      </w:r>
    </w:p>
    <w:p w14:paraId="48C45AF7" w14:textId="62E10593" w:rsidR="00BA4B65" w:rsidRDefault="00BA4B65" w:rsidP="00BD4AF5">
      <w:pPr>
        <w:rPr>
          <w:color w:val="000000" w:themeColor="text1"/>
        </w:rPr>
      </w:pPr>
    </w:p>
    <w:p w14:paraId="6D9FC8DE" w14:textId="77777777" w:rsidR="00BA4B65" w:rsidRPr="001A06C8" w:rsidRDefault="00BA4B65" w:rsidP="00BA4B65">
      <w:pPr>
        <w:ind w:firstLine="720"/>
        <w:rPr>
          <w:color w:val="000000" w:themeColor="text1"/>
        </w:rPr>
      </w:pPr>
    </w:p>
    <w:p w14:paraId="18223089" w14:textId="052120E7" w:rsidR="00BA4B65" w:rsidRPr="00746C0B" w:rsidRDefault="00BA4B65" w:rsidP="00BA4B65">
      <w:pPr>
        <w:rPr>
          <w:b/>
          <w:bCs/>
        </w:rPr>
      </w:pPr>
      <w:r>
        <w:rPr>
          <w:b/>
          <w:bCs/>
        </w:rPr>
        <w:t>M</w:t>
      </w:r>
      <w:r w:rsidR="00BD4AF5">
        <w:rPr>
          <w:b/>
          <w:bCs/>
        </w:rPr>
        <w:t>ETHODS</w:t>
      </w:r>
    </w:p>
    <w:p w14:paraId="31EA82E0" w14:textId="553C7063" w:rsidR="00BA4B65" w:rsidRDefault="00BA4B65"/>
    <w:p w14:paraId="2D076F96" w14:textId="5908558A" w:rsidR="00BD4AF5" w:rsidRPr="00BD4AF5" w:rsidRDefault="008F0074" w:rsidP="00BD4AF5">
      <w:pPr>
        <w:pStyle w:val="Heading3"/>
        <w:numPr>
          <w:ilvl w:val="0"/>
          <w:numId w:val="0"/>
        </w:numPr>
        <w:rPr>
          <w:rFonts w:ascii="Times New Roman" w:hAnsi="Times New Roman" w:cs="Times New Roman"/>
          <w:i/>
          <w:iCs/>
        </w:rPr>
      </w:pPr>
      <w:r w:rsidRPr="00BD4AF5">
        <w:rPr>
          <w:rFonts w:ascii="Times New Roman" w:hAnsi="Times New Roman" w:cs="Times New Roman"/>
          <w:i/>
          <w:iCs/>
        </w:rPr>
        <w:t>DETERMINING VARIANCES IN BODY MORPHOLOGY</w:t>
      </w:r>
    </w:p>
    <w:p w14:paraId="458023FB" w14:textId="77777777" w:rsidR="00BA4B65" w:rsidRPr="00785F40" w:rsidRDefault="00BA4B65" w:rsidP="00BA4B65">
      <w:pPr>
        <w:ind w:firstLine="720"/>
      </w:pPr>
      <w:r w:rsidRPr="00785F40">
        <w:t xml:space="preserve">I conducted my study at the captive waterfowl facility of the Forbes Biological Station in Havana, Illinois, May – August 2021 and 2022 and February – June 2022 and at Pinola Aviary, Shreveport, Louisiana, March 2021 to May 2022. I obtained 12 female and 11 male game-farm mallards from a commercial breeder in Hanover Illinois for year one of my study (May – August </w:t>
      </w:r>
      <w:r w:rsidRPr="00785F40">
        <w:lastRenderedPageBreak/>
        <w:t>2021). Using traps baited with corn in Illinois</w:t>
      </w:r>
      <w:r>
        <w:t xml:space="preserve"> and Tennessee</w:t>
      </w:r>
      <w:r w:rsidRPr="00785F40">
        <w:t xml:space="preserve">, we aimed to capture a similar number of wild birds, resulting in 9 males and 8 females. For year two (March – July 2022), I obtained 18 female and 18 male game-farm mallards from the same breeder and </w:t>
      </w:r>
      <w:r>
        <w:t xml:space="preserve">used </w:t>
      </w:r>
      <w:r w:rsidRPr="00785F40">
        <w:t xml:space="preserve">21 male and 14 female wild </w:t>
      </w:r>
      <w:r>
        <w:t xml:space="preserve">mallards captured </w:t>
      </w:r>
      <w:r w:rsidRPr="00785F40">
        <w:t xml:space="preserve">in Tennessee using the same trapping technique. A concurrent, identical study was conducted at Mississippi State University </w:t>
      </w:r>
      <w:r>
        <w:t>in 2022</w:t>
      </w:r>
      <w:r w:rsidRPr="00785F40">
        <w:t xml:space="preserve">, which obtained </w:t>
      </w:r>
      <w:r>
        <w:t xml:space="preserve">25 </w:t>
      </w:r>
      <w:r w:rsidRPr="00785F40">
        <w:t xml:space="preserve">from </w:t>
      </w:r>
      <w:r>
        <w:t>J Mallard Farms</w:t>
      </w:r>
      <w:r w:rsidRPr="00785F40">
        <w:t xml:space="preserve"> in </w:t>
      </w:r>
      <w:r>
        <w:t>Williston</w:t>
      </w:r>
      <w:r w:rsidRPr="00785F40">
        <w:t xml:space="preserve">, </w:t>
      </w:r>
      <w:r>
        <w:t xml:space="preserve">Tennessee. Of this group, </w:t>
      </w:r>
      <w:r w:rsidRPr="00785F40">
        <w:t>8 female and 12 male game-farm birds</w:t>
      </w:r>
      <w:r>
        <w:t xml:space="preserve"> would participate in the study. Eggs of wild mallards wer</w:t>
      </w:r>
      <w:r w:rsidRPr="00785F40">
        <w:t>e also obtained in Colusa and Sutter counties in California through a California Waterfowl Association egg salvage program</w:t>
      </w:r>
      <w:r>
        <w:t xml:space="preserve"> and hatched as 7 females and 13 males at Pinola Aviary</w:t>
      </w:r>
      <w:r w:rsidRPr="00785F40">
        <w:t>. Mallards were housed in outdoor pens that meets Institutional Animal Use and Care Committee (IACUC) Protocols from the University of Illinois (IACUC protocol # 18170) and SUNY ESF (IACUC # 200604).</w:t>
      </w:r>
    </w:p>
    <w:p w14:paraId="5FF122B5" w14:textId="1481C3F6" w:rsidR="00BA4B65" w:rsidRDefault="00BA4B65" w:rsidP="00BA4B65">
      <w:pPr>
        <w:ind w:firstLine="720"/>
      </w:pPr>
      <w:r w:rsidRPr="00785F40">
        <w:t>To determine genetics of my sample, I took blood samples from each</w:t>
      </w:r>
      <w:r>
        <w:t xml:space="preserve"> mallard</w:t>
      </w:r>
      <w:r w:rsidRPr="00785F40">
        <w:t xml:space="preserve"> and analyzed their nuclear DNA to assign true sex and ancestry. Prior to measurements, all mallards were sacrificed by cervical dislocation as described by AMVA guidelines and referenced by the American Ornithologists’ Union and following SUNY ESF Animal </w:t>
      </w:r>
      <w:r w:rsidR="00BD4AF5">
        <w:t>Protocol</w:t>
      </w:r>
      <w:r w:rsidRPr="00785F40">
        <w:t xml:space="preserve">. Following dispatch, I measured </w:t>
      </w:r>
      <w:r>
        <w:t>the length of the entire culmen, the length of the culmen from the tip to the start of the nares,</w:t>
      </w:r>
      <w:r w:rsidRPr="00785F40">
        <w:t xml:space="preserve"> bill height and width at the middle of the nares, head length, flattened wing chord length, tarsus length, and body length (± 1mm; Champagnon et al 2010, </w:t>
      </w:r>
      <w:proofErr w:type="spellStart"/>
      <w:r w:rsidRPr="00BD4AF5">
        <w:t>Dzubin</w:t>
      </w:r>
      <w:proofErr w:type="spellEnd"/>
      <w:r w:rsidRPr="00BD4AF5">
        <w:t xml:space="preserve"> and Cooch</w:t>
      </w:r>
      <w:r w:rsidRPr="00BD4AF5">
        <w:rPr>
          <w:i/>
        </w:rPr>
        <w:t xml:space="preserve"> </w:t>
      </w:r>
      <w:r w:rsidRPr="00BD4AF5">
        <w:t xml:space="preserve">1992, Söderquist et al. 2014). </w:t>
      </w:r>
    </w:p>
    <w:p w14:paraId="51477DB9" w14:textId="77777777" w:rsidR="00BD4AF5" w:rsidRPr="00BD4AF5" w:rsidRDefault="00BD4AF5" w:rsidP="00BA4B65">
      <w:pPr>
        <w:ind w:firstLine="720"/>
      </w:pPr>
    </w:p>
    <w:p w14:paraId="40CD6161" w14:textId="63D55A0B" w:rsidR="00BA4B65" w:rsidRPr="00BD4AF5" w:rsidRDefault="00BA4B65" w:rsidP="00BA4B65">
      <w:pPr>
        <w:pStyle w:val="Heading3"/>
        <w:numPr>
          <w:ilvl w:val="0"/>
          <w:numId w:val="0"/>
        </w:numPr>
        <w:rPr>
          <w:i/>
          <w:iCs/>
        </w:rPr>
      </w:pPr>
      <w:bookmarkStart w:id="0" w:name="_Toc118387308"/>
      <w:r w:rsidRPr="00BD4AF5">
        <w:rPr>
          <w:rFonts w:ascii="Times New Roman" w:hAnsi="Times New Roman" w:cs="Times New Roman"/>
          <w:i/>
          <w:iCs/>
        </w:rPr>
        <w:t>STATISTICAL ANALYSIS</w:t>
      </w:r>
      <w:bookmarkEnd w:id="0"/>
      <w:r w:rsidRPr="00BD4AF5">
        <w:rPr>
          <w:rFonts w:ascii="Times New Roman" w:hAnsi="Times New Roman" w:cs="Times New Roman"/>
          <w:i/>
          <w:iCs/>
        </w:rPr>
        <w:t xml:space="preserve"> OF VARIANCES IN MORPHOLOGY</w:t>
      </w:r>
    </w:p>
    <w:p w14:paraId="221DA819" w14:textId="77777777" w:rsidR="00BA4B65" w:rsidRPr="00785F40" w:rsidRDefault="00BA4B65" w:rsidP="00BA4B65">
      <w:pPr>
        <w:ind w:firstLine="720"/>
      </w:pPr>
      <w:r w:rsidRPr="00BD4AF5">
        <w:t xml:space="preserve">I determined Pearson correlation coefficients between morphometrics and conducted a Principal Component Analysis (PCA) to develop an index of structural size. PC1 accounted for 82.2% of variation in body size. I use linear model regression and tested if PC1 was influenced by </w:t>
      </w:r>
      <w:bookmarkStart w:id="1" w:name="_Hlk113950895"/>
      <w:r w:rsidRPr="00BD4AF5">
        <w:t>source (wild or game-farm), sex, and source × sex</w:t>
      </w:r>
      <w:bookmarkEnd w:id="1"/>
      <w:r w:rsidRPr="00BD4AF5">
        <w:t>. I also included year × location (Forbes or Pinola) combinations as 3 different categories to account for differences in environmental conditions potentially influencing growth and structural size. When PC1 varied by source I followed by conducting univariate tests of body morphologies to determine if they were influenced by source (wild or game-farm), sex, and source × sex I visualized studentized residuals of model outputs and they approximated a normal distribution. All analyses were conducted in R (</w:t>
      </w:r>
      <w:r w:rsidRPr="00BD4AF5">
        <w:rPr>
          <w:shd w:val="clear" w:color="auto" w:fill="FFFFFF"/>
        </w:rPr>
        <w:t>RStudio Team, 2020</w:t>
      </w:r>
      <w:r w:rsidRPr="00BD4AF5">
        <w:t>).</w:t>
      </w:r>
      <w:r w:rsidRPr="00785F40">
        <w:t xml:space="preserve"> </w:t>
      </w:r>
      <w:r>
        <w:t>All tests were considered significant at α = 0.05.</w:t>
      </w:r>
    </w:p>
    <w:p w14:paraId="2EB3859C" w14:textId="5B234C55" w:rsidR="00BA4B65" w:rsidRDefault="00BA4B65" w:rsidP="00BA4B65"/>
    <w:p w14:paraId="46314CC0" w14:textId="3EAEF561" w:rsidR="00BA4B65" w:rsidRPr="00BD4AF5" w:rsidRDefault="008F0074" w:rsidP="00BD4AF5">
      <w:pPr>
        <w:pStyle w:val="Heading3"/>
        <w:numPr>
          <w:ilvl w:val="0"/>
          <w:numId w:val="0"/>
        </w:numPr>
        <w:rPr>
          <w:i/>
          <w:iCs/>
        </w:rPr>
      </w:pPr>
      <w:r w:rsidRPr="00BD4AF5">
        <w:rPr>
          <w:rFonts w:ascii="Times New Roman" w:hAnsi="Times New Roman" w:cs="Times New Roman"/>
          <w:i/>
          <w:iCs/>
        </w:rPr>
        <w:t xml:space="preserve">DETERMINING </w:t>
      </w:r>
      <w:r w:rsidR="00BA4B65" w:rsidRPr="00BD4AF5">
        <w:rPr>
          <w:rFonts w:ascii="Times New Roman" w:hAnsi="Times New Roman" w:cs="Times New Roman"/>
          <w:i/>
          <w:iCs/>
        </w:rPr>
        <w:t>VARIANCES IN FEEDING EFFICIENCY</w:t>
      </w:r>
    </w:p>
    <w:p w14:paraId="5B0AADE7" w14:textId="77777777" w:rsidR="00BA4B65" w:rsidRPr="00451DD5" w:rsidRDefault="00BA4B65" w:rsidP="00BD4AF5">
      <w:pPr>
        <w:ind w:firstLine="720"/>
        <w:rPr>
          <w:color w:val="000000" w:themeColor="text1"/>
        </w:rPr>
      </w:pPr>
      <w:r w:rsidRPr="00451DD5">
        <w:rPr>
          <w:color w:val="000000" w:themeColor="text1"/>
        </w:rPr>
        <w:t xml:space="preserve">Prior to feeding trials, I </w:t>
      </w:r>
      <w:r>
        <w:rPr>
          <w:color w:val="000000" w:themeColor="text1"/>
        </w:rPr>
        <w:t>a</w:t>
      </w:r>
      <w:r w:rsidRPr="00451DD5">
        <w:rPr>
          <w:color w:val="000000" w:themeColor="text1"/>
        </w:rPr>
        <w:t>cclimate</w:t>
      </w:r>
      <w:r>
        <w:rPr>
          <w:color w:val="000000" w:themeColor="text1"/>
        </w:rPr>
        <w:t>d</w:t>
      </w:r>
      <w:r w:rsidRPr="00451DD5">
        <w:rPr>
          <w:color w:val="000000" w:themeColor="text1"/>
        </w:rPr>
        <w:t xml:space="preserve"> mallards</w:t>
      </w:r>
      <w:r>
        <w:rPr>
          <w:color w:val="000000" w:themeColor="text1"/>
        </w:rPr>
        <w:t xml:space="preserve"> between May 28</w:t>
      </w:r>
      <w:r w:rsidRPr="000653B3">
        <w:rPr>
          <w:color w:val="000000" w:themeColor="text1"/>
          <w:vertAlign w:val="superscript"/>
        </w:rPr>
        <w:t>th</w:t>
      </w:r>
      <w:r>
        <w:rPr>
          <w:color w:val="000000" w:themeColor="text1"/>
        </w:rPr>
        <w:t xml:space="preserve"> – June 22</w:t>
      </w:r>
      <w:proofErr w:type="gramStart"/>
      <w:r w:rsidRPr="000653B3">
        <w:rPr>
          <w:color w:val="000000" w:themeColor="text1"/>
          <w:vertAlign w:val="superscript"/>
        </w:rPr>
        <w:t>nd</w:t>
      </w:r>
      <w:r>
        <w:rPr>
          <w:color w:val="000000" w:themeColor="text1"/>
        </w:rPr>
        <w:t xml:space="preserve">  2021</w:t>
      </w:r>
      <w:proofErr w:type="gramEnd"/>
      <w:r>
        <w:rPr>
          <w:color w:val="000000" w:themeColor="text1"/>
        </w:rPr>
        <w:t xml:space="preserve"> (Forbes study year 1), March 14</w:t>
      </w:r>
      <w:r w:rsidRPr="000653B3">
        <w:rPr>
          <w:color w:val="000000" w:themeColor="text1"/>
          <w:vertAlign w:val="superscript"/>
        </w:rPr>
        <w:t>th</w:t>
      </w:r>
      <w:r>
        <w:rPr>
          <w:color w:val="000000" w:themeColor="text1"/>
        </w:rPr>
        <w:t xml:space="preserve"> – April 24</w:t>
      </w:r>
      <w:r w:rsidRPr="000653B3">
        <w:rPr>
          <w:color w:val="000000" w:themeColor="text1"/>
          <w:vertAlign w:val="superscript"/>
        </w:rPr>
        <w:t>th</w:t>
      </w:r>
      <w:r>
        <w:rPr>
          <w:color w:val="000000" w:themeColor="text1"/>
        </w:rPr>
        <w:t xml:space="preserve"> 2022 (Forbes study year 2) and </w:t>
      </w:r>
      <w:r w:rsidRPr="00BD4AF5">
        <w:rPr>
          <w:color w:val="000000" w:themeColor="text1"/>
        </w:rPr>
        <w:t>December 16</w:t>
      </w:r>
      <w:r w:rsidRPr="00BD4AF5">
        <w:rPr>
          <w:color w:val="000000" w:themeColor="text1"/>
          <w:vertAlign w:val="superscript"/>
        </w:rPr>
        <w:t>th</w:t>
      </w:r>
      <w:r w:rsidRPr="00BD4AF5">
        <w:rPr>
          <w:color w:val="000000" w:themeColor="text1"/>
        </w:rPr>
        <w:t xml:space="preserve"> 2021 – February 24</w:t>
      </w:r>
      <w:r w:rsidRPr="00BD4AF5">
        <w:rPr>
          <w:color w:val="000000" w:themeColor="text1"/>
          <w:vertAlign w:val="superscript"/>
        </w:rPr>
        <w:t>th</w:t>
      </w:r>
      <w:r w:rsidRPr="00BD4AF5">
        <w:rPr>
          <w:color w:val="000000" w:themeColor="text1"/>
        </w:rPr>
        <w:t xml:space="preserve"> 2022 (</w:t>
      </w:r>
      <w:r>
        <w:rPr>
          <w:color w:val="000000" w:themeColor="text1"/>
        </w:rPr>
        <w:t xml:space="preserve">Pinola study) </w:t>
      </w:r>
      <w:r w:rsidRPr="00451DD5">
        <w:rPr>
          <w:color w:val="000000" w:themeColor="text1"/>
        </w:rPr>
        <w:t xml:space="preserve">to feeding </w:t>
      </w:r>
      <w:r>
        <w:rPr>
          <w:color w:val="000000" w:themeColor="text1"/>
        </w:rPr>
        <w:t>from</w:t>
      </w:r>
      <w:r w:rsidRPr="00451DD5">
        <w:rPr>
          <w:color w:val="000000" w:themeColor="text1"/>
        </w:rPr>
        <w:t xml:space="preserve"> standardized trays </w:t>
      </w:r>
      <w:r>
        <w:rPr>
          <w:color w:val="000000" w:themeColor="text1"/>
        </w:rPr>
        <w:t>(8.25cm × 7.62cm ×1.43cm)</w:t>
      </w:r>
      <w:r w:rsidRPr="00451DD5">
        <w:rPr>
          <w:color w:val="000000" w:themeColor="text1"/>
        </w:rPr>
        <w:t xml:space="preserve"> filled with food items, </w:t>
      </w:r>
      <w:r>
        <w:rPr>
          <w:color w:val="000000" w:themeColor="text1"/>
        </w:rPr>
        <w:t xml:space="preserve">and 80g of </w:t>
      </w:r>
      <w:r w:rsidRPr="00451DD5">
        <w:rPr>
          <w:color w:val="000000" w:themeColor="text1"/>
        </w:rPr>
        <w:t xml:space="preserve">clay and </w:t>
      </w:r>
      <w:r>
        <w:rPr>
          <w:color w:val="000000" w:themeColor="text1"/>
        </w:rPr>
        <w:t xml:space="preserve">180mL of </w:t>
      </w:r>
      <w:r w:rsidRPr="00451DD5">
        <w:rPr>
          <w:color w:val="000000" w:themeColor="text1"/>
        </w:rPr>
        <w:t>water</w:t>
      </w:r>
      <w:r>
        <w:rPr>
          <w:color w:val="000000" w:themeColor="text1"/>
        </w:rPr>
        <w:t xml:space="preserve"> to simulate wetland substrate</w:t>
      </w:r>
      <w:r w:rsidRPr="00451DD5">
        <w:rPr>
          <w:color w:val="000000" w:themeColor="text1"/>
        </w:rPr>
        <w:t>. Food</w:t>
      </w:r>
      <w:r>
        <w:rPr>
          <w:color w:val="000000" w:themeColor="text1"/>
        </w:rPr>
        <w:t xml:space="preserve">s </w:t>
      </w:r>
      <w:r w:rsidRPr="00451DD5">
        <w:rPr>
          <w:color w:val="000000" w:themeColor="text1"/>
        </w:rPr>
        <w:t>include</w:t>
      </w:r>
      <w:r>
        <w:rPr>
          <w:color w:val="000000" w:themeColor="text1"/>
        </w:rPr>
        <w:t>d</w:t>
      </w:r>
      <w:r w:rsidRPr="00451DD5">
        <w:rPr>
          <w:color w:val="000000" w:themeColor="text1"/>
        </w:rPr>
        <w:t xml:space="preserve"> whole kernel corn, </w:t>
      </w:r>
      <w:r>
        <w:rPr>
          <w:color w:val="000000" w:themeColor="text1"/>
        </w:rPr>
        <w:t xml:space="preserve">Japanese </w:t>
      </w:r>
      <w:r w:rsidRPr="00451DD5">
        <w:rPr>
          <w:color w:val="000000" w:themeColor="text1"/>
        </w:rPr>
        <w:t>millet (</w:t>
      </w:r>
      <w:r w:rsidRPr="00C3588E">
        <w:rPr>
          <w:i/>
          <w:color w:val="000000" w:themeColor="text1"/>
        </w:rPr>
        <w:t>Echinochloa frument</w:t>
      </w:r>
      <w:r>
        <w:rPr>
          <w:i/>
          <w:color w:val="000000" w:themeColor="text1"/>
        </w:rPr>
        <w:t>acea</w:t>
      </w:r>
      <w:r w:rsidRPr="00451DD5">
        <w:rPr>
          <w:color w:val="000000" w:themeColor="text1"/>
        </w:rPr>
        <w:t xml:space="preserve">), </w:t>
      </w:r>
      <w:r>
        <w:rPr>
          <w:color w:val="000000" w:themeColor="text1"/>
        </w:rPr>
        <w:t xml:space="preserve">lentils, </w:t>
      </w:r>
      <w:r w:rsidRPr="00810D71">
        <w:rPr>
          <w:color w:val="000000" w:themeColor="text1"/>
        </w:rPr>
        <w:t>or</w:t>
      </w:r>
      <w:r w:rsidRPr="00451DD5">
        <w:rPr>
          <w:color w:val="000000" w:themeColor="text1"/>
        </w:rPr>
        <w:t xml:space="preserve"> amaranth (</w:t>
      </w:r>
      <w:r w:rsidRPr="00451DD5">
        <w:rPr>
          <w:i/>
          <w:color w:val="000000" w:themeColor="text1"/>
        </w:rPr>
        <w:t>Amaranthus</w:t>
      </w:r>
      <w:r w:rsidRPr="00451DD5">
        <w:rPr>
          <w:color w:val="000000" w:themeColor="text1"/>
        </w:rPr>
        <w:t xml:space="preserve"> spp.). Once</w:t>
      </w:r>
      <w:r>
        <w:rPr>
          <w:color w:val="000000" w:themeColor="text1"/>
        </w:rPr>
        <w:t xml:space="preserve"> </w:t>
      </w:r>
      <w:r w:rsidRPr="00451DD5">
        <w:rPr>
          <w:color w:val="000000" w:themeColor="text1"/>
        </w:rPr>
        <w:t xml:space="preserve">the ducks </w:t>
      </w:r>
      <w:r>
        <w:rPr>
          <w:color w:val="000000" w:themeColor="text1"/>
        </w:rPr>
        <w:t>had acclimated to feeding trials after each participated in 3 pilot trials over one month,</w:t>
      </w:r>
      <w:r w:rsidRPr="00451DD5">
        <w:rPr>
          <w:color w:val="000000" w:themeColor="text1"/>
        </w:rPr>
        <w:t xml:space="preserve"> I </w:t>
      </w:r>
      <w:r>
        <w:rPr>
          <w:color w:val="000000" w:themeColor="text1"/>
        </w:rPr>
        <w:t>u</w:t>
      </w:r>
      <w:r w:rsidRPr="00451DD5">
        <w:rPr>
          <w:color w:val="000000" w:themeColor="text1"/>
        </w:rPr>
        <w:t>se</w:t>
      </w:r>
      <w:r>
        <w:rPr>
          <w:color w:val="000000" w:themeColor="text1"/>
        </w:rPr>
        <w:t>d</w:t>
      </w:r>
      <w:r w:rsidRPr="00451DD5">
        <w:rPr>
          <w:color w:val="000000" w:themeColor="text1"/>
        </w:rPr>
        <w:t xml:space="preserve"> one food type each week in feeding trials, </w:t>
      </w:r>
      <w:r>
        <w:rPr>
          <w:color w:val="000000" w:themeColor="text1"/>
        </w:rPr>
        <w:t>and systematically provided ducks with a different food item each week until all food types had been fed and then repeated the order. For the large item, I fed lentils to the birds in the 2021 Illinois study, and corn to the birds in the 2022 Mississippi and Illinois studies.</w:t>
      </w:r>
      <w:r w:rsidDel="000158D3">
        <w:rPr>
          <w:color w:val="000000" w:themeColor="text1"/>
        </w:rPr>
        <w:t xml:space="preserve"> </w:t>
      </w:r>
      <w:r>
        <w:rPr>
          <w:color w:val="000000" w:themeColor="text1"/>
        </w:rPr>
        <w:t>Once acclimated, feeding trials used in data analysis were conducted between July 7</w:t>
      </w:r>
      <w:r w:rsidRPr="000653B3">
        <w:rPr>
          <w:color w:val="000000" w:themeColor="text1"/>
          <w:vertAlign w:val="superscript"/>
        </w:rPr>
        <w:t>th</w:t>
      </w:r>
      <w:r>
        <w:rPr>
          <w:color w:val="000000" w:themeColor="text1"/>
        </w:rPr>
        <w:t xml:space="preserve"> – December 1</w:t>
      </w:r>
      <w:r w:rsidRPr="000653B3">
        <w:rPr>
          <w:color w:val="000000" w:themeColor="text1"/>
          <w:vertAlign w:val="superscript"/>
        </w:rPr>
        <w:t>st</w:t>
      </w:r>
      <w:r>
        <w:rPr>
          <w:color w:val="000000" w:themeColor="text1"/>
        </w:rPr>
        <w:t xml:space="preserve"> 2021 (Forbes study year 1), April 26</w:t>
      </w:r>
      <w:r w:rsidRPr="000653B3">
        <w:rPr>
          <w:color w:val="000000" w:themeColor="text1"/>
          <w:vertAlign w:val="superscript"/>
        </w:rPr>
        <w:t>th</w:t>
      </w:r>
      <w:r>
        <w:rPr>
          <w:color w:val="000000" w:themeColor="text1"/>
        </w:rPr>
        <w:t xml:space="preserve"> – June 28</w:t>
      </w:r>
      <w:r w:rsidRPr="000653B3">
        <w:rPr>
          <w:color w:val="000000" w:themeColor="text1"/>
          <w:vertAlign w:val="superscript"/>
        </w:rPr>
        <w:t>th</w:t>
      </w:r>
      <w:r>
        <w:rPr>
          <w:color w:val="000000" w:themeColor="text1"/>
        </w:rPr>
        <w:t xml:space="preserve"> 2022 (Forbes study year 2), and February 28</w:t>
      </w:r>
      <w:r w:rsidRPr="000653B3">
        <w:rPr>
          <w:color w:val="000000" w:themeColor="text1"/>
          <w:vertAlign w:val="superscript"/>
        </w:rPr>
        <w:t>th</w:t>
      </w:r>
      <w:r>
        <w:rPr>
          <w:color w:val="000000" w:themeColor="text1"/>
        </w:rPr>
        <w:t xml:space="preserve"> – May 19</w:t>
      </w:r>
      <w:r w:rsidRPr="000653B3">
        <w:rPr>
          <w:color w:val="000000" w:themeColor="text1"/>
          <w:vertAlign w:val="superscript"/>
        </w:rPr>
        <w:t>th</w:t>
      </w:r>
      <w:r>
        <w:rPr>
          <w:color w:val="000000" w:themeColor="text1"/>
        </w:rPr>
        <w:t xml:space="preserve"> 2022 (Pinola study).   </w:t>
      </w:r>
      <w:r w:rsidRPr="00451DD5">
        <w:rPr>
          <w:color w:val="000000" w:themeColor="text1"/>
        </w:rPr>
        <w:t>During feeding trials, I use</w:t>
      </w:r>
      <w:r>
        <w:rPr>
          <w:color w:val="000000" w:themeColor="text1"/>
        </w:rPr>
        <w:t>d</w:t>
      </w:r>
      <w:r w:rsidRPr="00451DD5">
        <w:rPr>
          <w:color w:val="000000" w:themeColor="text1"/>
        </w:rPr>
        <w:t xml:space="preserve"> the same standardized trays with individual food </w:t>
      </w:r>
      <w:r w:rsidRPr="00451DD5">
        <w:rPr>
          <w:color w:val="000000" w:themeColor="text1"/>
        </w:rPr>
        <w:lastRenderedPageBreak/>
        <w:t xml:space="preserve">items to determine foraging efficiency </w:t>
      </w:r>
      <w:r>
        <w:rPr>
          <w:color w:val="000000" w:themeColor="text1"/>
        </w:rPr>
        <w:t xml:space="preserve">in </w:t>
      </w:r>
      <w:r w:rsidRPr="00451DD5">
        <w:rPr>
          <w:color w:val="000000" w:themeColor="text1"/>
        </w:rPr>
        <w:t xml:space="preserve">grams </w:t>
      </w:r>
      <w:r>
        <w:rPr>
          <w:color w:val="000000" w:themeColor="text1"/>
        </w:rPr>
        <w:t xml:space="preserve">consumed </w:t>
      </w:r>
      <w:r w:rsidRPr="00451DD5">
        <w:rPr>
          <w:color w:val="000000" w:themeColor="text1"/>
        </w:rPr>
        <w:t xml:space="preserve">per </w:t>
      </w:r>
      <w:r>
        <w:rPr>
          <w:color w:val="000000" w:themeColor="text1"/>
        </w:rPr>
        <w:t>second</w:t>
      </w:r>
      <w:r w:rsidRPr="00451DD5">
        <w:rPr>
          <w:color w:val="000000" w:themeColor="text1"/>
        </w:rPr>
        <w:t xml:space="preserve"> by wild and game</w:t>
      </w:r>
      <w:r>
        <w:rPr>
          <w:color w:val="000000" w:themeColor="text1"/>
        </w:rPr>
        <w:t>-</w:t>
      </w:r>
      <w:r w:rsidRPr="00451DD5">
        <w:rPr>
          <w:color w:val="000000" w:themeColor="text1"/>
        </w:rPr>
        <w:t xml:space="preserve">farm mallards among these items. </w:t>
      </w:r>
      <w:r>
        <w:rPr>
          <w:color w:val="000000" w:themeColor="text1"/>
        </w:rPr>
        <w:t>To determine genetics of my sample, I took blood samples from each bird and analyzed their nuclear DNA to assign true sex and ancestry.</w:t>
      </w:r>
      <w:r w:rsidRPr="00451DD5">
        <w:rPr>
          <w:color w:val="000000" w:themeColor="text1"/>
        </w:rPr>
        <w:t xml:space="preserve"> Before each feeding trial, ducks we</w:t>
      </w:r>
      <w:r>
        <w:rPr>
          <w:color w:val="000000" w:themeColor="text1"/>
        </w:rPr>
        <w:t>re</w:t>
      </w:r>
      <w:r w:rsidRPr="00451DD5">
        <w:rPr>
          <w:color w:val="000000" w:themeColor="text1"/>
        </w:rPr>
        <w:t xml:space="preserve"> housed in groups of 10</w:t>
      </w:r>
      <w:r>
        <w:rPr>
          <w:color w:val="000000" w:themeColor="text1"/>
        </w:rPr>
        <w:t xml:space="preserve"> to18</w:t>
      </w:r>
      <w:r w:rsidRPr="00451DD5">
        <w:rPr>
          <w:color w:val="000000" w:themeColor="text1"/>
        </w:rPr>
        <w:t xml:space="preserve"> for a fasting period of 5 h</w:t>
      </w:r>
      <w:r>
        <w:rPr>
          <w:color w:val="000000" w:themeColor="text1"/>
        </w:rPr>
        <w:t>ours,</w:t>
      </w:r>
      <w:r w:rsidRPr="00451DD5">
        <w:rPr>
          <w:color w:val="000000" w:themeColor="text1"/>
        </w:rPr>
        <w:t xml:space="preserve"> after which they</w:t>
      </w:r>
      <w:r>
        <w:rPr>
          <w:color w:val="000000" w:themeColor="text1"/>
        </w:rPr>
        <w:t xml:space="preserve"> were</w:t>
      </w:r>
      <w:r w:rsidRPr="00451DD5">
        <w:rPr>
          <w:color w:val="000000" w:themeColor="text1"/>
        </w:rPr>
        <w:t xml:space="preserve"> weighed</w:t>
      </w:r>
      <w:r>
        <w:rPr>
          <w:color w:val="000000" w:themeColor="text1"/>
        </w:rPr>
        <w:t xml:space="preserve"> using a digital scale to monitor body condition</w:t>
      </w:r>
      <w:r w:rsidRPr="00451DD5">
        <w:rPr>
          <w:color w:val="000000" w:themeColor="text1"/>
        </w:rPr>
        <w:t>.</w:t>
      </w:r>
      <w:r>
        <w:rPr>
          <w:color w:val="000000" w:themeColor="text1"/>
        </w:rPr>
        <w:t xml:space="preserve"> Any bird that weighted 75% of their initial mass at the start of each field season was placed back into the aviary to gain weight and reduce stress.  Each bird was placed in a cubic 76.2 × 76.2 × 45.7 cm welded-wired isolation cage.</w:t>
      </w:r>
      <w:r w:rsidRPr="00451DD5">
        <w:rPr>
          <w:color w:val="000000" w:themeColor="text1"/>
        </w:rPr>
        <w:t xml:space="preserve"> </w:t>
      </w:r>
      <w:r>
        <w:rPr>
          <w:color w:val="000000" w:themeColor="text1"/>
        </w:rPr>
        <w:t xml:space="preserve">Prior to trials, I soaked food items for 24 hours in water to ensure they mixed with clay substrate and did not float during feeding trials. </w:t>
      </w:r>
      <w:r w:rsidRPr="00451DD5">
        <w:rPr>
          <w:color w:val="000000" w:themeColor="text1"/>
        </w:rPr>
        <w:t xml:space="preserve">I </w:t>
      </w:r>
      <w:r>
        <w:rPr>
          <w:color w:val="000000" w:themeColor="text1"/>
        </w:rPr>
        <w:t xml:space="preserve">then </w:t>
      </w:r>
      <w:r w:rsidRPr="00451DD5">
        <w:rPr>
          <w:color w:val="000000" w:themeColor="text1"/>
        </w:rPr>
        <w:t>fill</w:t>
      </w:r>
      <w:r>
        <w:rPr>
          <w:color w:val="000000" w:themeColor="text1"/>
        </w:rPr>
        <w:t>ed</w:t>
      </w:r>
      <w:r w:rsidRPr="00451DD5">
        <w:rPr>
          <w:color w:val="000000" w:themeColor="text1"/>
        </w:rPr>
        <w:t xml:space="preserve"> each tray with a known amount of </w:t>
      </w:r>
      <w:r>
        <w:rPr>
          <w:color w:val="000000" w:themeColor="text1"/>
        </w:rPr>
        <w:t>one</w:t>
      </w:r>
      <w:r w:rsidRPr="00451DD5">
        <w:rPr>
          <w:color w:val="000000" w:themeColor="text1"/>
        </w:rPr>
        <w:t xml:space="preserve"> food </w:t>
      </w:r>
      <w:r>
        <w:rPr>
          <w:color w:val="000000" w:themeColor="text1"/>
        </w:rPr>
        <w:t xml:space="preserve">type </w:t>
      </w:r>
      <w:r w:rsidRPr="00451DD5">
        <w:rPr>
          <w:color w:val="000000" w:themeColor="text1"/>
        </w:rPr>
        <w:t>in</w:t>
      </w:r>
      <w:r>
        <w:rPr>
          <w:color w:val="000000" w:themeColor="text1"/>
        </w:rPr>
        <w:t xml:space="preserve"> </w:t>
      </w:r>
      <w:r w:rsidRPr="00451DD5">
        <w:rPr>
          <w:color w:val="000000" w:themeColor="text1"/>
        </w:rPr>
        <w:t xml:space="preserve">a standard volume of </w:t>
      </w:r>
      <w:r>
        <w:rPr>
          <w:color w:val="000000" w:themeColor="text1"/>
        </w:rPr>
        <w:t xml:space="preserve">substrate made with 180mL of </w:t>
      </w:r>
      <w:r w:rsidRPr="00451DD5">
        <w:rPr>
          <w:color w:val="000000" w:themeColor="text1"/>
        </w:rPr>
        <w:t xml:space="preserve">water and </w:t>
      </w:r>
      <w:r>
        <w:rPr>
          <w:color w:val="000000" w:themeColor="text1"/>
        </w:rPr>
        <w:t xml:space="preserve">80g of </w:t>
      </w:r>
      <w:r w:rsidRPr="00451DD5">
        <w:rPr>
          <w:color w:val="000000" w:themeColor="text1"/>
        </w:rPr>
        <w:t>silt. I use</w:t>
      </w:r>
      <w:r>
        <w:rPr>
          <w:color w:val="000000" w:themeColor="text1"/>
        </w:rPr>
        <w:t>d</w:t>
      </w:r>
      <w:r w:rsidRPr="00451DD5">
        <w:rPr>
          <w:color w:val="000000" w:themeColor="text1"/>
        </w:rPr>
        <w:t xml:space="preserve"> pilot feeding trials </w:t>
      </w:r>
      <w:r>
        <w:rPr>
          <w:color w:val="000000" w:themeColor="text1"/>
        </w:rPr>
        <w:t>and</w:t>
      </w:r>
      <w:r w:rsidRPr="00451DD5">
        <w:rPr>
          <w:color w:val="000000" w:themeColor="text1"/>
        </w:rPr>
        <w:t xml:space="preserve"> determine</w:t>
      </w:r>
      <w:r>
        <w:rPr>
          <w:color w:val="000000" w:themeColor="text1"/>
        </w:rPr>
        <w:t>d</w:t>
      </w:r>
      <w:r w:rsidRPr="00451DD5">
        <w:rPr>
          <w:color w:val="000000" w:themeColor="text1"/>
        </w:rPr>
        <w:t xml:space="preserve"> </w:t>
      </w:r>
      <w:r>
        <w:rPr>
          <w:color w:val="000000" w:themeColor="text1"/>
        </w:rPr>
        <w:t xml:space="preserve">that </w:t>
      </w:r>
      <w:r w:rsidRPr="00451DD5">
        <w:rPr>
          <w:color w:val="000000" w:themeColor="text1"/>
        </w:rPr>
        <w:t xml:space="preserve">40g of food </w:t>
      </w:r>
      <w:r>
        <w:rPr>
          <w:color w:val="000000" w:themeColor="text1"/>
        </w:rPr>
        <w:t>could</w:t>
      </w:r>
      <w:r w:rsidRPr="00451DD5">
        <w:rPr>
          <w:color w:val="000000" w:themeColor="text1"/>
        </w:rPr>
        <w:t xml:space="preserve"> not </w:t>
      </w:r>
      <w:r>
        <w:rPr>
          <w:color w:val="000000" w:themeColor="text1"/>
        </w:rPr>
        <w:t xml:space="preserve">be </w:t>
      </w:r>
      <w:r w:rsidRPr="00451DD5">
        <w:rPr>
          <w:color w:val="000000" w:themeColor="text1"/>
        </w:rPr>
        <w:t>deplete</w:t>
      </w:r>
      <w:r>
        <w:rPr>
          <w:color w:val="000000" w:themeColor="text1"/>
        </w:rPr>
        <w:t>d to zero during feeding trials lasting 5 min.</w:t>
      </w:r>
      <w:r w:rsidRPr="00451DD5">
        <w:rPr>
          <w:color w:val="000000" w:themeColor="text1"/>
        </w:rPr>
        <w:t xml:space="preserve"> </w:t>
      </w:r>
      <w:r>
        <w:rPr>
          <w:color w:val="000000" w:themeColor="text1"/>
        </w:rPr>
        <w:t>To ensure the same environmental conditions d</w:t>
      </w:r>
      <w:r w:rsidRPr="00451DD5">
        <w:rPr>
          <w:color w:val="000000" w:themeColor="text1"/>
        </w:rPr>
        <w:t xml:space="preserve">uring each </w:t>
      </w:r>
      <w:r>
        <w:rPr>
          <w:color w:val="000000" w:themeColor="text1"/>
        </w:rPr>
        <w:t xml:space="preserve">feeding </w:t>
      </w:r>
      <w:r w:rsidRPr="00451DD5">
        <w:rPr>
          <w:color w:val="000000" w:themeColor="text1"/>
        </w:rPr>
        <w:t>trial, I</w:t>
      </w:r>
      <w:r>
        <w:rPr>
          <w:color w:val="000000" w:themeColor="text1"/>
        </w:rPr>
        <w:t xml:space="preserve"> paired wild and game-farm birds</w:t>
      </w:r>
      <w:r w:rsidRPr="00451DD5">
        <w:rPr>
          <w:color w:val="000000" w:themeColor="text1"/>
        </w:rPr>
        <w:t xml:space="preserve"> </w:t>
      </w:r>
      <w:r>
        <w:rPr>
          <w:color w:val="000000" w:themeColor="text1"/>
        </w:rPr>
        <w:t xml:space="preserve">in adjacent isolation cages. I provided ducks </w:t>
      </w:r>
      <w:r w:rsidRPr="00451DD5">
        <w:rPr>
          <w:color w:val="000000" w:themeColor="text1"/>
        </w:rPr>
        <w:t xml:space="preserve">10 min to begin feeding and </w:t>
      </w:r>
      <w:r>
        <w:rPr>
          <w:color w:val="000000" w:themeColor="text1"/>
        </w:rPr>
        <w:t>observed</w:t>
      </w:r>
      <w:r w:rsidRPr="00451DD5">
        <w:rPr>
          <w:color w:val="000000" w:themeColor="text1"/>
        </w:rPr>
        <w:t xml:space="preserve"> individual ducks </w:t>
      </w:r>
      <w:r>
        <w:rPr>
          <w:color w:val="000000" w:themeColor="text1"/>
        </w:rPr>
        <w:t>using GoPro Hero 4 cameras mounted to isolation cages to</w:t>
      </w:r>
      <w:r w:rsidRPr="00451DD5">
        <w:rPr>
          <w:color w:val="000000" w:themeColor="text1"/>
        </w:rPr>
        <w:t xml:space="preserve"> </w:t>
      </w:r>
      <w:r>
        <w:rPr>
          <w:color w:val="000000" w:themeColor="text1"/>
        </w:rPr>
        <w:t>accurately determine</w:t>
      </w:r>
      <w:r w:rsidRPr="00451DD5">
        <w:rPr>
          <w:color w:val="000000" w:themeColor="text1"/>
        </w:rPr>
        <w:t xml:space="preserve"> </w:t>
      </w:r>
      <w:r>
        <w:rPr>
          <w:color w:val="000000" w:themeColor="text1"/>
        </w:rPr>
        <w:t>the</w:t>
      </w:r>
      <w:r w:rsidRPr="00451DD5">
        <w:rPr>
          <w:color w:val="000000" w:themeColor="text1"/>
        </w:rPr>
        <w:t xml:space="preserve"> time each duck spe</w:t>
      </w:r>
      <w:r>
        <w:rPr>
          <w:color w:val="000000" w:themeColor="text1"/>
        </w:rPr>
        <w:t>nt</w:t>
      </w:r>
      <w:r w:rsidRPr="00451DD5">
        <w:rPr>
          <w:color w:val="000000" w:themeColor="text1"/>
        </w:rPr>
        <w:t xml:space="preserve"> </w:t>
      </w:r>
      <w:r>
        <w:rPr>
          <w:color w:val="000000" w:themeColor="text1"/>
        </w:rPr>
        <w:t>actively attempting to feed with their bill in the substrate (± 1 sec)</w:t>
      </w:r>
      <w:r w:rsidRPr="00451DD5">
        <w:rPr>
          <w:color w:val="000000" w:themeColor="text1"/>
        </w:rPr>
        <w:t xml:space="preserve">. I </w:t>
      </w:r>
      <w:r>
        <w:rPr>
          <w:color w:val="000000" w:themeColor="text1"/>
        </w:rPr>
        <w:t>used a maximum of</w:t>
      </w:r>
      <w:r w:rsidRPr="00451DD5">
        <w:rPr>
          <w:color w:val="000000" w:themeColor="text1"/>
        </w:rPr>
        <w:t xml:space="preserve"> 5 min of active feeding during trials. </w:t>
      </w:r>
      <w:r>
        <w:rPr>
          <w:color w:val="000000" w:themeColor="text1"/>
        </w:rPr>
        <w:t>At the end of a feeding trial</w:t>
      </w:r>
      <w:r w:rsidRPr="00451DD5">
        <w:rPr>
          <w:color w:val="000000" w:themeColor="text1"/>
        </w:rPr>
        <w:t xml:space="preserve">, I </w:t>
      </w:r>
      <w:r>
        <w:rPr>
          <w:color w:val="000000" w:themeColor="text1"/>
        </w:rPr>
        <w:t>rinsed all clay and remaining food</w:t>
      </w:r>
      <w:r w:rsidRPr="00451DD5">
        <w:rPr>
          <w:color w:val="000000" w:themeColor="text1"/>
        </w:rPr>
        <w:t xml:space="preserve"> from the feeding tray </w:t>
      </w:r>
      <w:r>
        <w:rPr>
          <w:color w:val="000000" w:themeColor="text1"/>
        </w:rPr>
        <w:t xml:space="preserve">through a </w:t>
      </w:r>
      <w:r w:rsidRPr="007C5E01">
        <w:rPr>
          <w:color w:val="000000" w:themeColor="text1"/>
        </w:rPr>
        <w:t>250</w:t>
      </w:r>
      <w:r w:rsidRPr="008C3BC4">
        <w:rPr>
          <w:color w:val="000000" w:themeColor="text1"/>
          <w:shd w:val="clear" w:color="auto" w:fill="FFFFFF"/>
        </w:rPr>
        <w:t xml:space="preserve"> µm</w:t>
      </w:r>
      <w:r>
        <w:rPr>
          <w:color w:val="000000" w:themeColor="text1"/>
          <w:shd w:val="clear" w:color="auto" w:fill="FFFFFF"/>
        </w:rPr>
        <w:t xml:space="preserve"> sieve</w:t>
      </w:r>
      <w:r>
        <w:rPr>
          <w:color w:val="000000" w:themeColor="text1"/>
        </w:rPr>
        <w:t xml:space="preserve"> </w:t>
      </w:r>
      <w:r>
        <w:rPr>
          <w:color w:val="000000" w:themeColor="text1"/>
          <w:shd w:val="clear" w:color="auto" w:fill="FFFFFF"/>
        </w:rPr>
        <w:t>and dried remaining</w:t>
      </w:r>
      <w:r w:rsidRPr="00451DD5">
        <w:rPr>
          <w:color w:val="000000" w:themeColor="text1"/>
        </w:rPr>
        <w:t xml:space="preserve"> food at 60</w:t>
      </w:r>
      <w:r>
        <w:rPr>
          <w:color w:val="000000" w:themeColor="text1"/>
        </w:rPr>
        <w:t>−</w:t>
      </w:r>
      <w:r w:rsidRPr="00451DD5">
        <w:rPr>
          <w:color w:val="000000" w:themeColor="text1"/>
        </w:rPr>
        <w:t>80°C</w:t>
      </w:r>
      <w:r>
        <w:rPr>
          <w:color w:val="000000" w:themeColor="text1"/>
        </w:rPr>
        <w:t xml:space="preserve"> for 24 to 48 hours to a constant mass.</w:t>
      </w:r>
    </w:p>
    <w:p w14:paraId="43BE6A4F" w14:textId="77777777" w:rsidR="00BA4B65" w:rsidRPr="00134E80" w:rsidRDefault="00BA4B65" w:rsidP="00BA4B65">
      <w:pPr>
        <w:rPr>
          <w:b/>
          <w:bCs/>
          <w:color w:val="000000" w:themeColor="text1"/>
        </w:rPr>
      </w:pPr>
    </w:p>
    <w:p w14:paraId="7B01280C" w14:textId="7E59BF84" w:rsidR="00BA4B65" w:rsidRPr="00BD4AF5" w:rsidRDefault="008F0074" w:rsidP="00BA4B65">
      <w:pPr>
        <w:pStyle w:val="Heading3"/>
        <w:numPr>
          <w:ilvl w:val="0"/>
          <w:numId w:val="0"/>
        </w:numPr>
        <w:rPr>
          <w:rFonts w:ascii="Times New Roman" w:hAnsi="Times New Roman" w:cs="Times New Roman"/>
          <w:i/>
          <w:iCs/>
        </w:rPr>
      </w:pPr>
      <w:bookmarkStart w:id="2" w:name="_Toc118387326"/>
      <w:r w:rsidRPr="008F0074">
        <w:rPr>
          <w:rFonts w:ascii="Times New Roman" w:hAnsi="Times New Roman" w:cs="Times New Roman"/>
          <w:b/>
          <w:bCs/>
        </w:rPr>
        <w:t xml:space="preserve"> </w:t>
      </w:r>
      <w:r w:rsidRPr="00BD4AF5">
        <w:rPr>
          <w:rFonts w:ascii="Times New Roman" w:hAnsi="Times New Roman" w:cs="Times New Roman"/>
          <w:i/>
          <w:iCs/>
        </w:rPr>
        <w:t xml:space="preserve">STATISTICAL ANALYSIS OF VARIANCES IN FEEDING EFFICIENCY </w:t>
      </w:r>
      <w:bookmarkEnd w:id="2"/>
    </w:p>
    <w:p w14:paraId="766A3BE8" w14:textId="77777777" w:rsidR="00BA4B65" w:rsidRDefault="00BA4B65" w:rsidP="00BA4B65">
      <w:pPr>
        <w:ind w:firstLine="720"/>
        <w:rPr>
          <w:color w:val="000000" w:themeColor="text1"/>
        </w:rPr>
      </w:pPr>
      <w:r>
        <w:rPr>
          <w:color w:val="000000" w:themeColor="text1"/>
        </w:rPr>
        <w:t xml:space="preserve">Using RStudio, </w:t>
      </w:r>
      <w:r w:rsidRPr="009154AD">
        <w:rPr>
          <w:color w:val="000000" w:themeColor="text1"/>
        </w:rPr>
        <w:t xml:space="preserve">I </w:t>
      </w:r>
      <w:r>
        <w:rPr>
          <w:color w:val="000000" w:themeColor="text1"/>
        </w:rPr>
        <w:t>performed</w:t>
      </w:r>
      <w:r w:rsidRPr="009154AD">
        <w:rPr>
          <w:color w:val="000000" w:themeColor="text1"/>
        </w:rPr>
        <w:t xml:space="preserve"> mixed model regression to test for differences in feeding efficiency by</w:t>
      </w:r>
      <w:r>
        <w:rPr>
          <w:color w:val="000000" w:themeColor="text1"/>
        </w:rPr>
        <w:t xml:space="preserve"> source and sex (RStudio Team, 2020)</w:t>
      </w:r>
      <w:r w:rsidRPr="009302F3">
        <w:rPr>
          <w:color w:val="000000" w:themeColor="text1"/>
        </w:rPr>
        <w:t xml:space="preserve">. </w:t>
      </w:r>
      <w:r>
        <w:rPr>
          <w:color w:val="000000" w:themeColor="text1"/>
        </w:rPr>
        <w:t>F</w:t>
      </w:r>
      <w:r w:rsidRPr="009302F3">
        <w:rPr>
          <w:color w:val="000000" w:themeColor="text1"/>
        </w:rPr>
        <w:t>eeding efficiency (g/</w:t>
      </w:r>
      <w:r>
        <w:rPr>
          <w:color w:val="000000" w:themeColor="text1"/>
        </w:rPr>
        <w:t>second</w:t>
      </w:r>
      <w:r w:rsidRPr="009302F3">
        <w:rPr>
          <w:color w:val="000000" w:themeColor="text1"/>
        </w:rPr>
        <w:t xml:space="preserve">) </w:t>
      </w:r>
      <w:r>
        <w:rPr>
          <w:color w:val="000000" w:themeColor="text1"/>
        </w:rPr>
        <w:t>was</w:t>
      </w:r>
      <w:r w:rsidRPr="009302F3">
        <w:rPr>
          <w:color w:val="000000" w:themeColor="text1"/>
        </w:rPr>
        <w:t xml:space="preserve"> my </w:t>
      </w:r>
      <w:r>
        <w:rPr>
          <w:color w:val="000000" w:themeColor="text1"/>
        </w:rPr>
        <w:t>dependent</w:t>
      </w:r>
      <w:r w:rsidRPr="009302F3">
        <w:rPr>
          <w:color w:val="000000" w:themeColor="text1"/>
        </w:rPr>
        <w:t xml:space="preserve"> variable</w:t>
      </w:r>
      <w:r>
        <w:rPr>
          <w:color w:val="000000" w:themeColor="text1"/>
        </w:rPr>
        <w:t xml:space="preserve"> and my independent variables included</w:t>
      </w:r>
      <w:r w:rsidRPr="009302F3">
        <w:rPr>
          <w:color w:val="000000" w:themeColor="text1"/>
        </w:rPr>
        <w:t xml:space="preserve"> </w:t>
      </w:r>
      <w:r>
        <w:rPr>
          <w:color w:val="000000" w:themeColor="text1"/>
        </w:rPr>
        <w:t>source (wild or game-farm),</w:t>
      </w:r>
      <w:r w:rsidRPr="009302F3">
        <w:rPr>
          <w:color w:val="000000" w:themeColor="text1"/>
        </w:rPr>
        <w:t xml:space="preserve"> sex, </w:t>
      </w:r>
      <w:r>
        <w:rPr>
          <w:color w:val="000000" w:themeColor="text1"/>
        </w:rPr>
        <w:t xml:space="preserve">date, food item, and the interaction of source × sex. I considered independent variables significant at α = 0.05. I included category of study location, </w:t>
      </w:r>
      <w:r w:rsidRPr="009302F3">
        <w:rPr>
          <w:color w:val="000000" w:themeColor="text1"/>
        </w:rPr>
        <w:t>date</w:t>
      </w:r>
      <w:r>
        <w:rPr>
          <w:color w:val="000000" w:themeColor="text1"/>
        </w:rPr>
        <w:t>,</w:t>
      </w:r>
      <w:r w:rsidRPr="009302F3">
        <w:rPr>
          <w:color w:val="000000" w:themeColor="text1"/>
        </w:rPr>
        <w:t xml:space="preserve"> and food </w:t>
      </w:r>
      <w:r>
        <w:rPr>
          <w:color w:val="000000" w:themeColor="text1"/>
        </w:rPr>
        <w:t xml:space="preserve">item to control for study location, seasonal effects, and item size, respectively. To determine how many trials were needed to test for statistical differences in feeding efficiency between source and sex </w:t>
      </w:r>
      <w:r>
        <w:rPr>
          <w:color w:val="000000" w:themeColor="text1"/>
        </w:rPr>
        <w:fldChar w:fldCharType="begin"/>
      </w:r>
      <w:r>
        <w:rPr>
          <w:color w:val="000000" w:themeColor="text1"/>
        </w:rPr>
        <w:instrText xml:space="preserve"> ADDIN ZOTERO_ITEM CSL_CITATION {"citationID":"FJSCssvh","properties":{"formattedCitation":"(Dingemanse and Dochtermann 2013)","plainCitation":"(Dingemanse and Dochtermann 2013)","noteIndex":0},"citationItems":[{"id":22,"uris":["http://zotero.org/users/local/qFeOLOrx/items/ERJ48JYE"],"itemData":{"id":22,"type":"article-journal","abstract":"Growing interest in proximate and ultimate causes and consequences of between- and within-individual variation in labile components of the phenotype – such as behaviour or physiology – characterizes current research in evolutionary ecology. The study of individual variation requires tools for quantification and decomposition of phenotypic variation into between- and within-individual components. This is essential as variance components differ in their ecological and evolutionary implications. We provide an overview of how mixed-effect models can be used to partition variation in, and correlations among, phenotypic attributes into between- and within-individual variance components. Optimal sampling schemes to accurately estimate (with sufficient power) a wide range of repeatabilities and key (co)variance components, such as between- and within-individual correlations, are detailed. Mixed-effect models enable the usage of unambiguous terminology for patterns of biological variation that currently lack a formal statistical definition (e.g. ‘animal personality’ or ‘behavioural syndromes’), and facilitate cross-fertilisation between disciplines such as behavioural ecology, ecological physiology and quantitative genetics.","container-title":"Journal of Animal Ecology","DOI":"https://doi.org/10.1111/1365-2656.12013","ISSN":"1365-2656","issue":"1","language":"en","license":"© 2012 The Authors. Journal of Animal Ecology © 2012 British Ecological Society","note":"_eprint: https://besjournals.onlinelibrary.wiley.com/doi/pdf/10.1111/1365-2656.12013","page":"39-54","source":"Wiley Online Library","title":"Quantifying individual variation in behaviour: mixed-effect modelling approaches","title-short":"Quantifying individual variation in behaviour","volume":"82","author":[{"family":"Dingemanse","given":"Niels J."},{"family":"Dochtermann","given":"Ned A."}],"issued":{"date-parts":[["2013"]]}}}],"schema":"https://github.com/citation-style-language/schema/raw/master/csl-citation.json"} </w:instrText>
      </w:r>
      <w:r>
        <w:rPr>
          <w:color w:val="000000" w:themeColor="text1"/>
        </w:rPr>
        <w:fldChar w:fldCharType="separate"/>
      </w:r>
      <w:r>
        <w:rPr>
          <w:noProof/>
          <w:color w:val="000000" w:themeColor="text1"/>
        </w:rPr>
        <w:t>(Dingemanse and Dochtermann 2013)</w:t>
      </w:r>
      <w:r>
        <w:rPr>
          <w:color w:val="000000" w:themeColor="text1"/>
        </w:rPr>
        <w:fldChar w:fldCharType="end"/>
      </w:r>
      <w:r>
        <w:rPr>
          <w:color w:val="000000" w:themeColor="text1"/>
        </w:rPr>
        <w:t xml:space="preserve"> This power analysis indicated that I did not have enough trials to test for effects of food item on feeding efficiency, but seeds in my study spanned the general range of sizes available to mallards in the wild. I included </w:t>
      </w:r>
      <w:r w:rsidRPr="009302F3">
        <w:rPr>
          <w:color w:val="000000" w:themeColor="text1"/>
        </w:rPr>
        <w:t>duck identification as a repeated measure to control for entering the same individual into feeding trials multiple times</w:t>
      </w:r>
      <w:r>
        <w:rPr>
          <w:color w:val="000000" w:themeColor="text1"/>
        </w:rPr>
        <w:t xml:space="preserve"> </w:t>
      </w:r>
      <w:r>
        <w:rPr>
          <w:color w:val="000000" w:themeColor="text1"/>
        </w:rPr>
        <w:fldChar w:fldCharType="begin"/>
      </w:r>
      <w:r>
        <w:rPr>
          <w:color w:val="000000" w:themeColor="text1"/>
        </w:rPr>
        <w:instrText xml:space="preserve"> ADDIN ZOTERO_ITEM CSL_CITATION {"citationID":"NZx570wb","properties":{"formattedCitation":"(Dingemanse and Dochtermann 2013)","plainCitation":"(Dingemanse and Dochtermann 2013)","noteIndex":0},"citationItems":[{"id":22,"uris":["http://zotero.org/users/local/qFeOLOrx/items/ERJ48JYE"],"itemData":{"id":22,"type":"article-journal","abstract":"Growing interest in proximate and ultimate causes and consequences of between- and within-individual variation in labile components of the phenotype – such as behaviour or physiology – characterizes current research in evolutionary ecology. The study of individual variation requires tools for quantification and decomposition of phenotypic variation into between- and within-individual components. This is essential as variance components differ in their ecological and evolutionary implications. We provide an overview of how mixed-effect models can be used to partition variation in, and correlations among, phenotypic attributes into between- and within-individual variance components. Optimal sampling schemes to accurately estimate (with sufficient power) a wide range of repeatabilities and key (co)variance components, such as between- and within-individual correlations, are detailed. Mixed-effect models enable the usage of unambiguous terminology for patterns of biological variation that currently lack a formal statistical definition (e.g. ‘animal personality’ or ‘behavioural syndromes’), and facilitate cross-fertilisation between disciplines such as behavioural ecology, ecological physiology and quantitative genetics.","container-title":"Journal of Animal Ecology","DOI":"https://doi.org/10.1111/1365-2656.12013","ISSN":"1365-2656","issue":"1","language":"en","license":"© 2012 The Authors. Journal of Animal Ecology © 2012 British Ecological Society","note":"_eprint: https://besjournals.onlinelibrary.wiley.com/doi/pdf/10.1111/1365-2656.12013","page":"39-54","source":"Wiley Online Library","title":"Quantifying individual variation in behaviour: mixed-effect modelling approaches","title-short":"Quantifying individual variation in behaviour","volume":"82","author":[{"family":"Dingemanse","given":"Niels J."},{"family":"Dochtermann","given":"Ned A."}],"issued":{"date-parts":[["2013"]]}}}],"schema":"https://github.com/citation-style-language/schema/raw/master/csl-citation.json"} </w:instrText>
      </w:r>
      <w:r>
        <w:rPr>
          <w:color w:val="000000" w:themeColor="text1"/>
        </w:rPr>
        <w:fldChar w:fldCharType="separate"/>
      </w:r>
      <w:r>
        <w:rPr>
          <w:noProof/>
          <w:color w:val="000000" w:themeColor="text1"/>
        </w:rPr>
        <w:t>(Dingemanse and Dochtermann 2013)</w:t>
      </w:r>
      <w:r>
        <w:rPr>
          <w:color w:val="000000" w:themeColor="text1"/>
        </w:rPr>
        <w:fldChar w:fldCharType="end"/>
      </w:r>
      <w:r>
        <w:rPr>
          <w:color w:val="000000" w:themeColor="text1"/>
        </w:rPr>
        <w:t xml:space="preserve">. I further tested for a threshold in feeding efficiency in my wild mallard treatment by percentage wild mallard DNA using a piecewise regression (i.e., “broken stick”) </w:t>
      </w:r>
      <w:r>
        <w:rPr>
          <w:color w:val="000000" w:themeColor="text1"/>
        </w:rPr>
        <w:fldChar w:fldCharType="begin"/>
      </w:r>
      <w:r>
        <w:rPr>
          <w:color w:val="000000" w:themeColor="text1"/>
        </w:rPr>
        <w:instrText xml:space="preserve"> ADDIN ZOTERO_ITEM CSL_CITATION {"citationID":"DFNXntj5","properties":{"formattedCitation":"(Negovetich and Webster 2010)","plainCitation":"(Negovetich and Webster 2010)","noteIndex":0},"citationItems":[{"id":260,"uris":["http://zotero.org/users/local/qFeOLOrx/items/W7ZFNHHN"],"itemData":{"id":260,"type":"article-journal","abstract":"Maintenance of avian influenza virus in waterfowl populations requires that virions remain infectious while in the environment. Temperature has been shown to negatively correlate with persistence time, which is the duration for which virions are infectious. However, thermostability can vary between isolates regardless of subtype, and it is not known whether this variation occurs when host and geographic location of isolation are controlled. In this study, we analyzed the thermostabilities of 7 H2N3 viruses isolated from mallard ducks in Alberta, Canada. Virus samples were incubated at 37°C and 55°C, and infectivity titers were calculated at different time points. Based on the rate of infectivity inactivation at 37°C, isolates could be grouped into either a thermosensitive or thermostable fraction for both egg- and MDCK-grown virus populations. Titers decreased more rapidly for isolates incubated at 55°C, and this loss of infectivity occurred in a nonlinear, 2-step process, which is in contrast with the consensus on thermostability. This suggests that stock samples contain a mixture of subpopulations with different thermostabilities. The rate of decrease for the sensitive fraction was approximately 14 times higher than that for the stable fraction. The presence of subpopulations is further supported by selection experiments and plaque purification, both of which result in homogenous populations that exhibit linear decreases of infectivity titer. Therefore, variation of thermostability of influenza virus isolates begins at the level of the population. The presence of subpopulations with high thermostability suggests that avian viruses can persist in water longer than previously estimated, thus increasing the probability of transmission to susceptible hosts.","container-title":"Journal of Virology","DOI":"10.1128/JVI.01170-10","issue":"18","note":"publisher: American Society for Microbiology","page":"9369-9376","source":"journals.asm.org (Atypon)","title":"Thermostability of Subpopulations of H2N3 Influenza Virus Isolates from Mallard Ducks","volume":"84","author":[{"family":"Negovetich","given":"Nicholas J."},{"family":"Webster","given":"Robert G."}],"issued":{"date-parts":[["2010",9,15]]}}}],"schema":"https://github.com/citation-style-language/schema/raw/master/csl-citation.json"} </w:instrText>
      </w:r>
      <w:r>
        <w:rPr>
          <w:color w:val="000000" w:themeColor="text1"/>
        </w:rPr>
        <w:fldChar w:fldCharType="separate"/>
      </w:r>
      <w:r>
        <w:rPr>
          <w:noProof/>
          <w:color w:val="000000" w:themeColor="text1"/>
        </w:rPr>
        <w:t>(Negovetich and Webster 2010)</w:t>
      </w:r>
      <w:r>
        <w:rPr>
          <w:color w:val="000000" w:themeColor="text1"/>
        </w:rPr>
        <w:fldChar w:fldCharType="end"/>
      </w:r>
      <w:r>
        <w:rPr>
          <w:color w:val="000000" w:themeColor="text1"/>
        </w:rPr>
        <w:t xml:space="preserve">. My aim was to determine if feeding efficiency remained relatively constant in mallards obtained from the wild until a certain percentage wild mallard DNA, when I predicted feeding efficiency would begin to decline. </w:t>
      </w:r>
    </w:p>
    <w:p w14:paraId="3FC74764" w14:textId="0D733817" w:rsidR="00BA4B65" w:rsidRDefault="00BA4B65" w:rsidP="00BA4B65"/>
    <w:p w14:paraId="183B888C" w14:textId="77777777" w:rsidR="00BD4AF5" w:rsidRDefault="00BD4AF5" w:rsidP="00BA4B65"/>
    <w:p w14:paraId="6CDDA5C9" w14:textId="3EF2338F" w:rsidR="00BD4AF5" w:rsidRDefault="00BD4AF5" w:rsidP="00BA4B65">
      <w:pPr>
        <w:rPr>
          <w:b/>
          <w:bCs/>
        </w:rPr>
      </w:pPr>
      <w:r>
        <w:rPr>
          <w:b/>
          <w:bCs/>
        </w:rPr>
        <w:t>RESULTS</w:t>
      </w:r>
    </w:p>
    <w:p w14:paraId="6CB0C079" w14:textId="53D4E5C1" w:rsidR="00BD4AF5" w:rsidRDefault="00BD4AF5" w:rsidP="00BA4B65">
      <w:pPr>
        <w:rPr>
          <w:b/>
          <w:bCs/>
        </w:rPr>
      </w:pPr>
    </w:p>
    <w:p w14:paraId="39736CA6" w14:textId="580D75F8" w:rsidR="00BD4AF5" w:rsidRPr="00BD4AF5" w:rsidRDefault="00BD4AF5" w:rsidP="00BD4AF5">
      <w:pPr>
        <w:rPr>
          <w:i/>
          <w:iCs/>
        </w:rPr>
      </w:pPr>
      <w:r>
        <w:rPr>
          <w:i/>
          <w:iCs/>
        </w:rPr>
        <w:t>MORPHOLOGY COMPARISONS</w:t>
      </w:r>
    </w:p>
    <w:p w14:paraId="6DFED628" w14:textId="544117E7" w:rsidR="00F00935" w:rsidRPr="00967307" w:rsidRDefault="00F00935" w:rsidP="004D4A22">
      <w:pPr>
        <w:ind w:firstLine="720"/>
      </w:pPr>
      <w:r>
        <w:t xml:space="preserve">The morphometric study surveyed 28 male and 26 female mallards, along with 41 male and 37 female game-farm mallards. The total number of birds surveyed </w:t>
      </w:r>
      <w:r>
        <w:rPr>
          <w:i/>
          <w:iCs/>
        </w:rPr>
        <w:t xml:space="preserve">N </w:t>
      </w:r>
      <w:r>
        <w:t xml:space="preserve">= 132. Comparisons of various body and bill morphologies among game-farm and wild mallards were determined via Pearson Correlation Coefficients. These indicated a strong positive correlation between culmen length and length of culmen from nares to tip in game-farm mallards (Pearson’s </w:t>
      </w:r>
      <w:r>
        <w:rPr>
          <w:i/>
          <w:iCs/>
        </w:rPr>
        <w:t xml:space="preserve">r </w:t>
      </w:r>
      <w:r>
        <w:t xml:space="preserve">= 0.92, </w:t>
      </w:r>
      <w:r>
        <w:rPr>
          <w:i/>
          <w:iCs/>
        </w:rPr>
        <w:t xml:space="preserve">P </w:t>
      </w:r>
      <w:r>
        <w:t xml:space="preserve">= &lt; </w:t>
      </w:r>
      <w:r>
        <w:lastRenderedPageBreak/>
        <w:t xml:space="preserve">0.001). A similar strong positive correlation between total culmen length and culmen length from nares to tip was found among wild mallards (Pearson’s </w:t>
      </w:r>
      <w:r>
        <w:rPr>
          <w:i/>
          <w:iCs/>
        </w:rPr>
        <w:t xml:space="preserve">r </w:t>
      </w:r>
      <w:r>
        <w:t xml:space="preserve">= 0.88 , </w:t>
      </w:r>
      <w:r>
        <w:rPr>
          <w:i/>
          <w:iCs/>
        </w:rPr>
        <w:t xml:space="preserve">P </w:t>
      </w:r>
      <w:r>
        <w:t>= &lt; 0.001). Additionally,</w:t>
      </w:r>
      <w:r w:rsidRPr="00024BA8">
        <w:t xml:space="preserve"> </w:t>
      </w:r>
      <w:r>
        <w:t xml:space="preserve">wild mallards showed a strong positive correlation between culmen width and bill height (Pearson’s </w:t>
      </w:r>
      <w:r>
        <w:rPr>
          <w:i/>
          <w:iCs/>
        </w:rPr>
        <w:t xml:space="preserve">r </w:t>
      </w:r>
      <w:r>
        <w:t xml:space="preserve">= 0.73, </w:t>
      </w:r>
      <w:r>
        <w:rPr>
          <w:i/>
          <w:iCs/>
        </w:rPr>
        <w:t xml:space="preserve">P </w:t>
      </w:r>
      <w:r>
        <w:t xml:space="preserve">= &lt; 0.001) and between body length and head length (Pearson’s </w:t>
      </w:r>
      <w:r>
        <w:rPr>
          <w:i/>
          <w:iCs/>
        </w:rPr>
        <w:t xml:space="preserve">r </w:t>
      </w:r>
      <w:r>
        <w:t xml:space="preserve">= 0.78, </w:t>
      </w:r>
      <w:r>
        <w:rPr>
          <w:i/>
          <w:iCs/>
        </w:rPr>
        <w:t xml:space="preserve">P </w:t>
      </w:r>
      <w:r>
        <w:t xml:space="preserve">= &lt; 0.001). </w:t>
      </w:r>
    </w:p>
    <w:p w14:paraId="2FC16FEF" w14:textId="62D7545C" w:rsidR="00BD4AF5" w:rsidRPr="004D4A22" w:rsidRDefault="00F00935" w:rsidP="004D4A22">
      <w:pPr>
        <w:ind w:firstLine="720"/>
      </w:pPr>
      <w:r>
        <w:t>Loading scores from the principal components analysis determined that body length, wing chord length, and head length respectively most heavily influenced PC1, with PC1 accounting for 82.2 % of variance in morphometrics within the model (Figure 2.</w:t>
      </w:r>
      <w:r w:rsidR="00C05395">
        <w:t>1</w:t>
      </w:r>
      <w:r>
        <w:t>). The Eigen values of the PCA ranged from 0.20 to 686.52</w:t>
      </w:r>
      <w:r w:rsidR="00C05395">
        <w:t xml:space="preserve"> (Table 2.1).</w:t>
      </w:r>
      <w:r w:rsidR="004D4A22">
        <w:t xml:space="preserve"> </w:t>
      </w:r>
      <w:r>
        <w:t>In a generalized linear model, PC1 significantly varied by source and sex (</w:t>
      </w:r>
      <w:proofErr w:type="spellStart"/>
      <w:r w:rsidRPr="00FA700E">
        <w:rPr>
          <w:i/>
          <w:iCs/>
        </w:rPr>
        <w:t>X</w:t>
      </w:r>
      <w:r>
        <w:rPr>
          <w:i/>
          <w:iCs/>
          <w:vertAlign w:val="subscript"/>
        </w:rPr>
        <w:t>Source</w:t>
      </w:r>
      <w:proofErr w:type="spellEnd"/>
      <w:r>
        <w:t xml:space="preserve"> </w:t>
      </w:r>
      <w:r w:rsidRPr="00443F5B">
        <w:t>= 17.28</w:t>
      </w:r>
      <w:r>
        <w:t xml:space="preserve"> </w:t>
      </w:r>
      <w:r>
        <w:sym w:font="Symbol" w:char="F0B1"/>
      </w:r>
      <w:r>
        <w:t xml:space="preserve"> 2.28 [SE], </w:t>
      </w:r>
      <w:proofErr w:type="spellStart"/>
      <w:r w:rsidRPr="00FA700E">
        <w:rPr>
          <w:i/>
          <w:iCs/>
        </w:rPr>
        <w:t>X</w:t>
      </w:r>
      <w:r>
        <w:rPr>
          <w:i/>
          <w:iCs/>
          <w:vertAlign w:val="subscript"/>
        </w:rPr>
        <w:t>Sex</w:t>
      </w:r>
      <w:proofErr w:type="spellEnd"/>
      <w:r>
        <w:rPr>
          <w:i/>
          <w:iCs/>
          <w:vertAlign w:val="subscript"/>
        </w:rPr>
        <w:t xml:space="preserve"> </w:t>
      </w:r>
      <w:r>
        <w:rPr>
          <w:i/>
          <w:iCs/>
        </w:rPr>
        <w:t>=</w:t>
      </w:r>
      <w:r>
        <w:t xml:space="preserve"> -40.31 </w:t>
      </w:r>
      <w:r>
        <w:sym w:font="Symbol" w:char="F0B1"/>
      </w:r>
      <w:r>
        <w:t xml:space="preserve"> 2.91,</w:t>
      </w:r>
      <w:r>
        <w:rPr>
          <w:i/>
          <w:iCs/>
        </w:rPr>
        <w:t xml:space="preserve"> </w:t>
      </w:r>
      <w:r>
        <w:t xml:space="preserve">  </w:t>
      </w:r>
      <w:r>
        <w:rPr>
          <w:i/>
          <w:iCs/>
        </w:rPr>
        <w:t xml:space="preserve">F = </w:t>
      </w:r>
      <w:r w:rsidRPr="008719A5">
        <w:t>64.56</w:t>
      </w:r>
      <w:r>
        <w:rPr>
          <w:i/>
          <w:iCs/>
        </w:rPr>
        <w:t xml:space="preserve"> , </w:t>
      </w:r>
      <w:proofErr w:type="spellStart"/>
      <w:r>
        <w:t>df</w:t>
      </w:r>
      <w:proofErr w:type="spellEnd"/>
      <w:r>
        <w:t xml:space="preserve"> = 3 and 128 , </w:t>
      </w:r>
      <w:r>
        <w:rPr>
          <w:i/>
          <w:iCs/>
        </w:rPr>
        <w:t>P</w:t>
      </w:r>
      <w:r>
        <w:t xml:space="preserve"> = </w:t>
      </w:r>
      <w:r w:rsidRPr="000E6582">
        <w:t>&lt; 0.001</w:t>
      </w:r>
      <w:r>
        <w:t>)</w:t>
      </w:r>
      <w:r w:rsidR="004D4A22">
        <w:t xml:space="preserve"> (Table 2.2)</w:t>
      </w:r>
      <w:r>
        <w:t xml:space="preserve">. </w:t>
      </w:r>
      <w:r w:rsidR="00443F5B">
        <w:t>We see higher variation in PC1 among wild mallards when compared to game-farm mallards (Figure 2.1).</w:t>
      </w:r>
    </w:p>
    <w:p w14:paraId="4F70E7A4" w14:textId="77777777" w:rsidR="00BD4AF5" w:rsidRDefault="00BD4AF5" w:rsidP="00BA4B65">
      <w:pPr>
        <w:rPr>
          <w:i/>
          <w:iCs/>
        </w:rPr>
      </w:pPr>
    </w:p>
    <w:p w14:paraId="297F0A6F" w14:textId="0A108A65" w:rsidR="00BD4AF5" w:rsidRDefault="00BD4AF5" w:rsidP="00BA4B65">
      <w:pPr>
        <w:rPr>
          <w:i/>
          <w:iCs/>
        </w:rPr>
      </w:pPr>
      <w:r w:rsidRPr="00BD4AF5">
        <w:rPr>
          <w:i/>
          <w:iCs/>
        </w:rPr>
        <w:t>FEEDING EFFICIENCY TRIALS</w:t>
      </w:r>
    </w:p>
    <w:p w14:paraId="2A1FCC4B" w14:textId="6EABEA1C" w:rsidR="00474315" w:rsidRDefault="00474315" w:rsidP="004D4A22">
      <w:pPr>
        <w:ind w:firstLine="720"/>
        <w:rPr>
          <w:color w:val="000000" w:themeColor="text1"/>
          <w:shd w:val="clear" w:color="auto" w:fill="FFFFFF"/>
        </w:rPr>
      </w:pPr>
      <w:r>
        <w:rPr>
          <w:color w:val="000000" w:themeColor="text1"/>
          <w:shd w:val="clear" w:color="auto" w:fill="FFFFFF"/>
        </w:rPr>
        <w:t xml:space="preserve">My feeding trials yielded a total of 515 successful trials, with game-farm females being the most frequent participants (Table 3.1). An ANOVA showed that the most variance in feeding efficiency rates was explained by source (Table 3.2), although feeding efficiency was definitively shown to be significantly influenced by both source </w:t>
      </w:r>
      <w:r>
        <w:t>(</w:t>
      </w:r>
      <w:proofErr w:type="spellStart"/>
      <w:r w:rsidRPr="001D0EB2">
        <w:rPr>
          <w:i/>
          <w:iCs/>
        </w:rPr>
        <w:t>X</w:t>
      </w:r>
      <w:r>
        <w:rPr>
          <w:i/>
          <w:iCs/>
          <w:vertAlign w:val="subscript"/>
        </w:rPr>
        <w:t>Game</w:t>
      </w:r>
      <w:proofErr w:type="spellEnd"/>
      <w:r>
        <w:rPr>
          <w:i/>
          <w:iCs/>
          <w:vertAlign w:val="subscript"/>
        </w:rPr>
        <w:t>-Farm</w:t>
      </w:r>
      <w:r w:rsidRPr="001D0EB2">
        <w:rPr>
          <w:i/>
          <w:iCs/>
        </w:rPr>
        <w:t xml:space="preserve"> = </w:t>
      </w:r>
      <w:r>
        <w:t xml:space="preserve"> -0.10 g/s.</w:t>
      </w:r>
      <w:r w:rsidRPr="001D0EB2">
        <w:t xml:space="preserve"> </w:t>
      </w:r>
      <w:r>
        <w:sym w:font="Symbol" w:char="F0B1"/>
      </w:r>
      <w:r>
        <w:t xml:space="preserve">  0.02 [SE], </w:t>
      </w:r>
      <w:r w:rsidRPr="001D0EB2">
        <w:rPr>
          <w:i/>
          <w:iCs/>
        </w:rPr>
        <w:t>F</w:t>
      </w:r>
      <w:r>
        <w:t xml:space="preserve"> = 10.86,</w:t>
      </w:r>
      <w:r w:rsidRPr="00974C19">
        <w:t xml:space="preserve"> </w:t>
      </w:r>
      <w:proofErr w:type="spellStart"/>
      <w:r>
        <w:t>df</w:t>
      </w:r>
      <w:proofErr w:type="spellEnd"/>
      <w:r>
        <w:t xml:space="preserve"> = 8 and 506 and , </w:t>
      </w:r>
      <w:r w:rsidRPr="001D0EB2">
        <w:rPr>
          <w:i/>
          <w:iCs/>
        </w:rPr>
        <w:t>P</w:t>
      </w:r>
      <w:r>
        <w:t xml:space="preserve"> =  </w:t>
      </w:r>
      <w:r w:rsidRPr="000E6582">
        <w:t>&lt; 0.001</w:t>
      </w:r>
      <w:r>
        <w:t>, adjusted R</w:t>
      </w:r>
      <w:r>
        <w:rPr>
          <w:vertAlign w:val="superscript"/>
        </w:rPr>
        <w:t>2</w:t>
      </w:r>
      <w:r>
        <w:t xml:space="preserve"> = 0.13)</w:t>
      </w:r>
      <w:r>
        <w:rPr>
          <w:color w:val="000000" w:themeColor="text1"/>
          <w:shd w:val="clear" w:color="auto" w:fill="FFFFFF"/>
        </w:rPr>
        <w:t xml:space="preserve"> and sex </w:t>
      </w:r>
      <w:r>
        <w:t>(</w:t>
      </w:r>
      <w:proofErr w:type="spellStart"/>
      <w:r w:rsidRPr="001D0EB2">
        <w:rPr>
          <w:i/>
          <w:iCs/>
        </w:rPr>
        <w:t>X</w:t>
      </w:r>
      <w:r>
        <w:rPr>
          <w:i/>
          <w:iCs/>
          <w:vertAlign w:val="subscript"/>
        </w:rPr>
        <w:t>Female</w:t>
      </w:r>
      <w:proofErr w:type="spellEnd"/>
      <w:r w:rsidRPr="001D0EB2">
        <w:rPr>
          <w:i/>
          <w:iCs/>
        </w:rPr>
        <w:t xml:space="preserve"> =</w:t>
      </w:r>
      <w:r>
        <w:rPr>
          <w:i/>
          <w:iCs/>
        </w:rPr>
        <w:t xml:space="preserve"> </w:t>
      </w:r>
      <w:r>
        <w:t xml:space="preserve">-0.06 </w:t>
      </w:r>
      <w:r w:rsidRPr="001D0EB2">
        <w:rPr>
          <w:i/>
          <w:iCs/>
        </w:rPr>
        <w:t xml:space="preserve"> </w:t>
      </w:r>
      <w:r>
        <w:t>g/s.</w:t>
      </w:r>
      <w:r w:rsidRPr="001D0EB2">
        <w:t xml:space="preserve"> </w:t>
      </w:r>
      <w:r>
        <w:sym w:font="Symbol" w:char="F0B1"/>
      </w:r>
      <w:r>
        <w:t xml:space="preserve"> 0.02 [SE], </w:t>
      </w:r>
      <w:r w:rsidRPr="001D0EB2">
        <w:rPr>
          <w:i/>
          <w:iCs/>
        </w:rPr>
        <w:t>F</w:t>
      </w:r>
      <w:r>
        <w:t xml:space="preserve"> = 10.86,</w:t>
      </w:r>
      <w:r w:rsidRPr="00974C19">
        <w:t xml:space="preserve"> </w:t>
      </w:r>
      <w:proofErr w:type="spellStart"/>
      <w:r>
        <w:t>df</w:t>
      </w:r>
      <w:proofErr w:type="spellEnd"/>
      <w:r>
        <w:t xml:space="preserve"> = 8 and 506, </w:t>
      </w:r>
      <w:r w:rsidRPr="001D0EB2">
        <w:rPr>
          <w:i/>
          <w:iCs/>
        </w:rPr>
        <w:t>P</w:t>
      </w:r>
      <w:r>
        <w:t xml:space="preserve"> =  </w:t>
      </w:r>
      <w:r w:rsidRPr="000E6582">
        <w:t>&lt; 0.001</w:t>
      </w:r>
      <w:r>
        <w:t>, adjusted R</w:t>
      </w:r>
      <w:r>
        <w:rPr>
          <w:vertAlign w:val="superscript"/>
        </w:rPr>
        <w:t>2</w:t>
      </w:r>
      <w:r>
        <w:t xml:space="preserve"> = 0.13)</w:t>
      </w:r>
      <w:r>
        <w:rPr>
          <w:color w:val="000000" w:themeColor="text1"/>
          <w:shd w:val="clear" w:color="auto" w:fill="FFFFFF"/>
        </w:rPr>
        <w:t xml:space="preserve"> (Table 3.3, Figure 3.1). Wild mallards showed a 51% higher efficiency rate than their game-farm counterparts, with wild males out-performing all other groups (Table 3.1). Conversely, game-farm females showed the lowest feeding efficiency rates, despite showing the highest frequency of participation (Table 3.1, Figure 3.1). Additionally, feeding efficiency rates varied by food type (Figure 3.2). Across sources and sex, the mallards tended to have higher efficiency rates when feeding on larger food particles, except for corn (Table 3.3), although efficiency rates vary by source and sex (Figure 3.2). Across sex, wild birds eat the smallest food particle used in the study, amaranth, approximately 53% more efficiently than their game-farm counterparts (Figure 3.2).</w:t>
      </w:r>
    </w:p>
    <w:p w14:paraId="379A00DC" w14:textId="5704B9E4" w:rsidR="00474315" w:rsidRDefault="00474315" w:rsidP="00BA4B65"/>
    <w:p w14:paraId="689AF1D2" w14:textId="27832A9F" w:rsidR="00F00935" w:rsidRDefault="00F00935" w:rsidP="00F00935">
      <w:pPr>
        <w:pStyle w:val="Heading4"/>
        <w:numPr>
          <w:ilvl w:val="0"/>
          <w:numId w:val="0"/>
        </w:numPr>
        <w:jc w:val="center"/>
        <w:rPr>
          <w:rFonts w:ascii="Times New Roman" w:hAnsi="Times New Roman" w:cs="Times New Roman"/>
          <w:i w:val="0"/>
          <w:iCs w:val="0"/>
        </w:rPr>
      </w:pPr>
      <w:bookmarkStart w:id="3" w:name="_Toc120902075"/>
      <w:r w:rsidRPr="00CA64D6">
        <w:rPr>
          <w:rFonts w:ascii="Times New Roman" w:hAnsi="Times New Roman" w:cs="Times New Roman"/>
          <w:b/>
          <w:bCs/>
          <w:i w:val="0"/>
          <w:iCs w:val="0"/>
        </w:rPr>
        <w:t>Table 2.</w:t>
      </w:r>
      <w:r>
        <w:rPr>
          <w:rFonts w:ascii="Times New Roman" w:hAnsi="Times New Roman" w:cs="Times New Roman"/>
          <w:b/>
          <w:bCs/>
          <w:i w:val="0"/>
          <w:iCs w:val="0"/>
        </w:rPr>
        <w:t>1</w:t>
      </w:r>
      <w:r w:rsidRPr="00CA64D6">
        <w:rPr>
          <w:rFonts w:ascii="Times New Roman" w:hAnsi="Times New Roman" w:cs="Times New Roman"/>
          <w:b/>
          <w:bCs/>
          <w:i w:val="0"/>
          <w:iCs w:val="0"/>
        </w:rPr>
        <w:t>.</w:t>
      </w:r>
      <w:r w:rsidRPr="00CA64D6">
        <w:rPr>
          <w:rFonts w:ascii="Times New Roman" w:hAnsi="Times New Roman" w:cs="Times New Roman"/>
          <w:i w:val="0"/>
          <w:iCs w:val="0"/>
        </w:rPr>
        <w:t xml:space="preserve"> </w:t>
      </w:r>
      <w:r>
        <w:rPr>
          <w:rFonts w:ascii="Times New Roman" w:hAnsi="Times New Roman" w:cs="Times New Roman"/>
          <w:i w:val="0"/>
          <w:iCs w:val="0"/>
        </w:rPr>
        <w:t xml:space="preserve">Principal Component Loadings for Analysis </w:t>
      </w:r>
      <w:r w:rsidRPr="00CA64D6">
        <w:rPr>
          <w:rFonts w:ascii="Times New Roman" w:hAnsi="Times New Roman" w:cs="Times New Roman"/>
          <w:i w:val="0"/>
          <w:iCs w:val="0"/>
        </w:rPr>
        <w:t xml:space="preserve">of </w:t>
      </w:r>
      <w:r>
        <w:rPr>
          <w:rFonts w:ascii="Times New Roman" w:hAnsi="Times New Roman" w:cs="Times New Roman"/>
          <w:i w:val="0"/>
          <w:iCs w:val="0"/>
        </w:rPr>
        <w:t xml:space="preserve">Body and </w:t>
      </w:r>
      <w:r w:rsidRPr="00CA64D6">
        <w:rPr>
          <w:rFonts w:ascii="Times New Roman" w:hAnsi="Times New Roman" w:cs="Times New Roman"/>
          <w:i w:val="0"/>
          <w:iCs w:val="0"/>
        </w:rPr>
        <w:t xml:space="preserve">Bill Morphology in </w:t>
      </w:r>
      <w:r>
        <w:rPr>
          <w:rFonts w:ascii="Times New Roman" w:hAnsi="Times New Roman" w:cs="Times New Roman"/>
          <w:i w:val="0"/>
          <w:iCs w:val="0"/>
        </w:rPr>
        <w:t xml:space="preserve">Wild and </w:t>
      </w:r>
      <w:r w:rsidRPr="00CA64D6">
        <w:rPr>
          <w:rFonts w:ascii="Times New Roman" w:hAnsi="Times New Roman" w:cs="Times New Roman"/>
          <w:i w:val="0"/>
          <w:iCs w:val="0"/>
        </w:rPr>
        <w:t>Game-Farm Mallards</w:t>
      </w:r>
      <w:bookmarkEnd w:id="3"/>
    </w:p>
    <w:p w14:paraId="6E06E855" w14:textId="77777777" w:rsidR="00F00935" w:rsidRPr="00F00935" w:rsidRDefault="00F00935" w:rsidP="00F00935">
      <w:pPr>
        <w:pStyle w:val="Heading4"/>
        <w:numPr>
          <w:ilvl w:val="0"/>
          <w:numId w:val="0"/>
        </w:numPr>
        <w:jc w:val="center"/>
        <w:rPr>
          <w:rFonts w:ascii="Times New Roman" w:hAnsi="Times New Roman" w:cs="Times New Roman"/>
          <w:i w:val="0"/>
          <w:iCs w:val="0"/>
        </w:rPr>
      </w:pPr>
    </w:p>
    <w:tbl>
      <w:tblPr>
        <w:tblStyle w:val="PlainTable5"/>
        <w:tblW w:w="0" w:type="auto"/>
        <w:jc w:val="center"/>
        <w:tblLayout w:type="fixed"/>
        <w:tblLook w:val="04A0" w:firstRow="1" w:lastRow="0" w:firstColumn="1" w:lastColumn="0" w:noHBand="0" w:noVBand="1"/>
      </w:tblPr>
      <w:tblGrid>
        <w:gridCol w:w="1890"/>
        <w:gridCol w:w="1080"/>
        <w:gridCol w:w="1229"/>
        <w:gridCol w:w="1293"/>
      </w:tblGrid>
      <w:tr w:rsidR="00F00935" w:rsidRPr="00FA4F7C" w14:paraId="65F9F8F7" w14:textId="77777777" w:rsidTr="001A194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90" w:type="dxa"/>
          </w:tcPr>
          <w:p w14:paraId="1B3BE786" w14:textId="77777777" w:rsidR="00F00935" w:rsidRPr="00FA4F7C" w:rsidRDefault="00F00935" w:rsidP="001A1948">
            <w:r>
              <w:t>Morphometric</w:t>
            </w:r>
          </w:p>
        </w:tc>
        <w:tc>
          <w:tcPr>
            <w:tcW w:w="1080" w:type="dxa"/>
          </w:tcPr>
          <w:p w14:paraId="642DB82C" w14:textId="77777777" w:rsidR="00F00935" w:rsidRPr="00FA4F7C" w:rsidRDefault="00F00935" w:rsidP="001A1948">
            <w:pPr>
              <w:cnfStyle w:val="100000000000" w:firstRow="1" w:lastRow="0" w:firstColumn="0" w:lastColumn="0" w:oddVBand="0" w:evenVBand="0" w:oddHBand="0" w:evenHBand="0" w:firstRowFirstColumn="0" w:firstRowLastColumn="0" w:lastRowFirstColumn="0" w:lastRowLastColumn="0"/>
            </w:pPr>
            <w:r w:rsidRPr="00FA4F7C">
              <w:t>PC1</w:t>
            </w:r>
          </w:p>
        </w:tc>
        <w:tc>
          <w:tcPr>
            <w:tcW w:w="1229" w:type="dxa"/>
          </w:tcPr>
          <w:p w14:paraId="48FF6E8A" w14:textId="77777777" w:rsidR="00F00935" w:rsidRPr="00FA4F7C" w:rsidRDefault="00F00935" w:rsidP="001A1948">
            <w:pPr>
              <w:cnfStyle w:val="100000000000" w:firstRow="1" w:lastRow="0" w:firstColumn="0" w:lastColumn="0" w:oddVBand="0" w:evenVBand="0" w:oddHBand="0" w:evenHBand="0" w:firstRowFirstColumn="0" w:firstRowLastColumn="0" w:lastRowFirstColumn="0" w:lastRowLastColumn="0"/>
            </w:pPr>
            <w:r w:rsidRPr="00FA4F7C">
              <w:t>PC2</w:t>
            </w:r>
          </w:p>
        </w:tc>
        <w:tc>
          <w:tcPr>
            <w:tcW w:w="1293" w:type="dxa"/>
          </w:tcPr>
          <w:p w14:paraId="0A4075F5" w14:textId="77777777" w:rsidR="00F00935" w:rsidRPr="00FA4F7C" w:rsidRDefault="00F00935" w:rsidP="001A1948">
            <w:pPr>
              <w:cnfStyle w:val="100000000000" w:firstRow="1" w:lastRow="0" w:firstColumn="0" w:lastColumn="0" w:oddVBand="0" w:evenVBand="0" w:oddHBand="0" w:evenHBand="0" w:firstRowFirstColumn="0" w:firstRowLastColumn="0" w:lastRowFirstColumn="0" w:lastRowLastColumn="0"/>
            </w:pPr>
            <w:r w:rsidRPr="00FA4F7C">
              <w:t>PC3</w:t>
            </w:r>
          </w:p>
        </w:tc>
      </w:tr>
      <w:tr w:rsidR="00F00935" w:rsidRPr="00FA4F7C" w14:paraId="7F2A5508"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0" w:type="dxa"/>
          </w:tcPr>
          <w:p w14:paraId="41D10814" w14:textId="77777777" w:rsidR="00F00935" w:rsidRPr="00FA4F7C" w:rsidRDefault="00F00935" w:rsidP="001A1948">
            <w:r w:rsidRPr="00FA4F7C">
              <w:t>Bill Height</w:t>
            </w:r>
          </w:p>
        </w:tc>
        <w:tc>
          <w:tcPr>
            <w:tcW w:w="1080" w:type="dxa"/>
          </w:tcPr>
          <w:p w14:paraId="0B2FB3C5"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0.03</w:t>
            </w:r>
          </w:p>
        </w:tc>
        <w:tc>
          <w:tcPr>
            <w:tcW w:w="1229" w:type="dxa"/>
          </w:tcPr>
          <w:p w14:paraId="40105180"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-0.001</w:t>
            </w:r>
          </w:p>
        </w:tc>
        <w:tc>
          <w:tcPr>
            <w:tcW w:w="1293" w:type="dxa"/>
          </w:tcPr>
          <w:p w14:paraId="4D137989"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0.01</w:t>
            </w:r>
          </w:p>
        </w:tc>
      </w:tr>
      <w:tr w:rsidR="00F00935" w:rsidRPr="00FA4F7C" w14:paraId="3C198698"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890" w:type="dxa"/>
          </w:tcPr>
          <w:p w14:paraId="160D1310" w14:textId="77777777" w:rsidR="00F00935" w:rsidRPr="00FA4F7C" w:rsidRDefault="00F00935" w:rsidP="001A1948">
            <w:r w:rsidRPr="00FA4F7C">
              <w:t>Culmen Nares</w:t>
            </w:r>
          </w:p>
        </w:tc>
        <w:tc>
          <w:tcPr>
            <w:tcW w:w="1080" w:type="dxa"/>
          </w:tcPr>
          <w:p w14:paraId="0EA109BC"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0.05</w:t>
            </w:r>
          </w:p>
        </w:tc>
        <w:tc>
          <w:tcPr>
            <w:tcW w:w="1229" w:type="dxa"/>
          </w:tcPr>
          <w:p w14:paraId="52FF1842"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-0.007</w:t>
            </w:r>
          </w:p>
        </w:tc>
        <w:tc>
          <w:tcPr>
            <w:tcW w:w="1293" w:type="dxa"/>
          </w:tcPr>
          <w:p w14:paraId="1F528734"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-0.39</w:t>
            </w:r>
          </w:p>
        </w:tc>
      </w:tr>
      <w:tr w:rsidR="00F00935" w:rsidRPr="00FA4F7C" w14:paraId="06FD7D7E"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0" w:type="dxa"/>
          </w:tcPr>
          <w:p w14:paraId="3A4D519B" w14:textId="77777777" w:rsidR="00F00935" w:rsidRPr="00FA4F7C" w:rsidRDefault="00F00935" w:rsidP="001A1948">
            <w:r w:rsidRPr="00FA4F7C">
              <w:t>Culmen Width</w:t>
            </w:r>
          </w:p>
        </w:tc>
        <w:tc>
          <w:tcPr>
            <w:tcW w:w="1080" w:type="dxa"/>
          </w:tcPr>
          <w:p w14:paraId="43407FB9"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0.03</w:t>
            </w:r>
          </w:p>
        </w:tc>
        <w:tc>
          <w:tcPr>
            <w:tcW w:w="1229" w:type="dxa"/>
          </w:tcPr>
          <w:p w14:paraId="1C70C2F0"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0.01</w:t>
            </w:r>
          </w:p>
        </w:tc>
        <w:tc>
          <w:tcPr>
            <w:tcW w:w="1293" w:type="dxa"/>
          </w:tcPr>
          <w:p w14:paraId="2CF325CA"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0.04</w:t>
            </w:r>
          </w:p>
        </w:tc>
      </w:tr>
      <w:tr w:rsidR="00F00935" w:rsidRPr="00FA4F7C" w14:paraId="57E4FF2A"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890" w:type="dxa"/>
          </w:tcPr>
          <w:p w14:paraId="45C40CB6" w14:textId="77777777" w:rsidR="00F00935" w:rsidRPr="00FA4F7C" w:rsidRDefault="00F00935" w:rsidP="001A1948">
            <w:r w:rsidRPr="00FA4F7C">
              <w:t>Culmen Length</w:t>
            </w:r>
          </w:p>
        </w:tc>
        <w:tc>
          <w:tcPr>
            <w:tcW w:w="1080" w:type="dxa"/>
          </w:tcPr>
          <w:p w14:paraId="0D2875F7"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0.06</w:t>
            </w:r>
          </w:p>
        </w:tc>
        <w:tc>
          <w:tcPr>
            <w:tcW w:w="1229" w:type="dxa"/>
          </w:tcPr>
          <w:p w14:paraId="64424205"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0.001</w:t>
            </w:r>
          </w:p>
        </w:tc>
        <w:tc>
          <w:tcPr>
            <w:tcW w:w="1293" w:type="dxa"/>
          </w:tcPr>
          <w:p w14:paraId="5CEBA9FC"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-0.47</w:t>
            </w:r>
          </w:p>
        </w:tc>
      </w:tr>
      <w:tr w:rsidR="00F00935" w:rsidRPr="00FA4F7C" w14:paraId="033CA1AF"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0" w:type="dxa"/>
          </w:tcPr>
          <w:p w14:paraId="071DC734" w14:textId="77777777" w:rsidR="00F00935" w:rsidRPr="00FA4F7C" w:rsidRDefault="00F00935" w:rsidP="001A1948">
            <w:r w:rsidRPr="00FA4F7C">
              <w:t>Head Length</w:t>
            </w:r>
          </w:p>
        </w:tc>
        <w:tc>
          <w:tcPr>
            <w:tcW w:w="1080" w:type="dxa"/>
          </w:tcPr>
          <w:p w14:paraId="1C6FBA4F"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0.12</w:t>
            </w:r>
          </w:p>
        </w:tc>
        <w:tc>
          <w:tcPr>
            <w:tcW w:w="1229" w:type="dxa"/>
          </w:tcPr>
          <w:p w14:paraId="054B26D2"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-0.07</w:t>
            </w:r>
          </w:p>
        </w:tc>
        <w:tc>
          <w:tcPr>
            <w:tcW w:w="1293" w:type="dxa"/>
          </w:tcPr>
          <w:p w14:paraId="2F1CE9A8"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-0.76</w:t>
            </w:r>
          </w:p>
        </w:tc>
      </w:tr>
      <w:tr w:rsidR="00F00935" w:rsidRPr="00FA4F7C" w14:paraId="236E479D"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890" w:type="dxa"/>
          </w:tcPr>
          <w:p w14:paraId="48136D46" w14:textId="77777777" w:rsidR="00F00935" w:rsidRPr="00FA4F7C" w:rsidRDefault="00F00935" w:rsidP="001A1948">
            <w:r w:rsidRPr="00FA4F7C">
              <w:t>Body Length</w:t>
            </w:r>
          </w:p>
        </w:tc>
        <w:tc>
          <w:tcPr>
            <w:tcW w:w="1080" w:type="dxa"/>
          </w:tcPr>
          <w:p w14:paraId="2C53E0D6"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0.92</w:t>
            </w:r>
          </w:p>
        </w:tc>
        <w:tc>
          <w:tcPr>
            <w:tcW w:w="1229" w:type="dxa"/>
          </w:tcPr>
          <w:p w14:paraId="28E54A62"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0.36</w:t>
            </w:r>
          </w:p>
        </w:tc>
        <w:tc>
          <w:tcPr>
            <w:tcW w:w="1293" w:type="dxa"/>
          </w:tcPr>
          <w:p w14:paraId="7F6366DE"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0.10</w:t>
            </w:r>
          </w:p>
        </w:tc>
      </w:tr>
      <w:tr w:rsidR="00F00935" w:rsidRPr="00FA4F7C" w14:paraId="7438643A"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0" w:type="dxa"/>
          </w:tcPr>
          <w:p w14:paraId="58BE1A57" w14:textId="77777777" w:rsidR="00F00935" w:rsidRPr="00FA4F7C" w:rsidRDefault="00F00935" w:rsidP="001A1948">
            <w:r w:rsidRPr="00FA4F7C">
              <w:t>Tarsus Length</w:t>
            </w:r>
          </w:p>
        </w:tc>
        <w:tc>
          <w:tcPr>
            <w:tcW w:w="1080" w:type="dxa"/>
          </w:tcPr>
          <w:p w14:paraId="10056050"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0.06</w:t>
            </w:r>
          </w:p>
        </w:tc>
        <w:tc>
          <w:tcPr>
            <w:tcW w:w="1229" w:type="dxa"/>
          </w:tcPr>
          <w:p w14:paraId="394C9556"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0.05</w:t>
            </w:r>
          </w:p>
        </w:tc>
        <w:tc>
          <w:tcPr>
            <w:tcW w:w="1293" w:type="dxa"/>
          </w:tcPr>
          <w:p w14:paraId="4A09C787"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0.16</w:t>
            </w:r>
          </w:p>
        </w:tc>
      </w:tr>
      <w:tr w:rsidR="00F00935" w:rsidRPr="00FA4F7C" w14:paraId="50BDD9CE"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890" w:type="dxa"/>
            <w:tcBorders>
              <w:bottom w:val="single" w:sz="4" w:space="0" w:color="auto"/>
            </w:tcBorders>
          </w:tcPr>
          <w:p w14:paraId="3269EB46" w14:textId="77777777" w:rsidR="00F00935" w:rsidRPr="00FA4F7C" w:rsidRDefault="00F00935" w:rsidP="001A1948">
            <w:r w:rsidRPr="00FA4F7C">
              <w:t>Wing Chord</w:t>
            </w:r>
          </w:p>
        </w:tc>
        <w:tc>
          <w:tcPr>
            <w:tcW w:w="1080" w:type="dxa"/>
            <w:tcBorders>
              <w:bottom w:val="single" w:sz="4" w:space="0" w:color="auto"/>
            </w:tcBorders>
          </w:tcPr>
          <w:p w14:paraId="2473ACFB"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0.35</w:t>
            </w:r>
          </w:p>
        </w:tc>
        <w:tc>
          <w:tcPr>
            <w:tcW w:w="1229" w:type="dxa"/>
            <w:tcBorders>
              <w:bottom w:val="single" w:sz="4" w:space="0" w:color="auto"/>
            </w:tcBorders>
          </w:tcPr>
          <w:p w14:paraId="04BFD6C7"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-0.93</w:t>
            </w:r>
          </w:p>
        </w:tc>
        <w:tc>
          <w:tcPr>
            <w:tcW w:w="1293" w:type="dxa"/>
            <w:tcBorders>
              <w:bottom w:val="single" w:sz="4" w:space="0" w:color="auto"/>
            </w:tcBorders>
          </w:tcPr>
          <w:p w14:paraId="4E9F4F9B"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0.12</w:t>
            </w:r>
          </w:p>
        </w:tc>
      </w:tr>
      <w:tr w:rsidR="00F00935" w:rsidRPr="00FA4F7C" w14:paraId="689B2EC2"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tcBorders>
          </w:tcPr>
          <w:p w14:paraId="1E598E47" w14:textId="77777777" w:rsidR="00F00935" w:rsidRPr="00FA4F7C" w:rsidRDefault="00F00935" w:rsidP="001A1948">
            <w:r w:rsidRPr="00FA4F7C">
              <w:t>Eigen Values</w:t>
            </w:r>
          </w:p>
        </w:tc>
        <w:tc>
          <w:tcPr>
            <w:tcW w:w="1080" w:type="dxa"/>
            <w:tcBorders>
              <w:top w:val="single" w:sz="4" w:space="0" w:color="auto"/>
            </w:tcBorders>
          </w:tcPr>
          <w:p w14:paraId="6CB3F67C"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685.48</w:t>
            </w:r>
          </w:p>
        </w:tc>
        <w:tc>
          <w:tcPr>
            <w:tcW w:w="1229" w:type="dxa"/>
            <w:tcBorders>
              <w:top w:val="single" w:sz="4" w:space="0" w:color="auto"/>
            </w:tcBorders>
          </w:tcPr>
          <w:p w14:paraId="4F03D1D5"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168.42</w:t>
            </w:r>
          </w:p>
        </w:tc>
        <w:tc>
          <w:tcPr>
            <w:tcW w:w="1293" w:type="dxa"/>
            <w:tcBorders>
              <w:top w:val="single" w:sz="4" w:space="0" w:color="auto"/>
            </w:tcBorders>
          </w:tcPr>
          <w:p w14:paraId="6095A9AD" w14:textId="77777777" w:rsidR="00F00935" w:rsidRPr="00FA4F7C" w:rsidRDefault="00F00935" w:rsidP="001A1948">
            <w:pPr>
              <w:cnfStyle w:val="000000100000" w:firstRow="0" w:lastRow="0" w:firstColumn="0" w:lastColumn="0" w:oddVBand="0" w:evenVBand="0" w:oddHBand="1" w:evenHBand="0" w:firstRowFirstColumn="0" w:firstRowLastColumn="0" w:lastRowFirstColumn="0" w:lastRowLastColumn="0"/>
            </w:pPr>
            <w:r>
              <w:t>19.28</w:t>
            </w:r>
          </w:p>
        </w:tc>
      </w:tr>
      <w:tr w:rsidR="00F00935" w:rsidRPr="00FA4F7C" w14:paraId="23195E1C"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890" w:type="dxa"/>
          </w:tcPr>
          <w:p w14:paraId="245DAB4F" w14:textId="77777777" w:rsidR="00F00935" w:rsidRPr="00FA4F7C" w:rsidRDefault="00F00935" w:rsidP="001A1948">
            <w:r>
              <w:t xml:space="preserve">Cumulative </w:t>
            </w:r>
            <w:r w:rsidRPr="00FA4F7C">
              <w:t>Variance Explained</w:t>
            </w:r>
          </w:p>
        </w:tc>
        <w:tc>
          <w:tcPr>
            <w:tcW w:w="1080" w:type="dxa"/>
          </w:tcPr>
          <w:p w14:paraId="3881BF94"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78%</w:t>
            </w:r>
          </w:p>
        </w:tc>
        <w:tc>
          <w:tcPr>
            <w:tcW w:w="1229" w:type="dxa"/>
          </w:tcPr>
          <w:p w14:paraId="649F6E59"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97%</w:t>
            </w:r>
          </w:p>
        </w:tc>
        <w:tc>
          <w:tcPr>
            <w:tcW w:w="1293" w:type="dxa"/>
          </w:tcPr>
          <w:p w14:paraId="53594783" w14:textId="77777777" w:rsidR="00F00935" w:rsidRPr="00FA4F7C" w:rsidRDefault="00F00935" w:rsidP="001A1948">
            <w:pPr>
              <w:cnfStyle w:val="000000000000" w:firstRow="0" w:lastRow="0" w:firstColumn="0" w:lastColumn="0" w:oddVBand="0" w:evenVBand="0" w:oddHBand="0" w:evenHBand="0" w:firstRowFirstColumn="0" w:firstRowLastColumn="0" w:lastRowFirstColumn="0" w:lastRowLastColumn="0"/>
            </w:pPr>
            <w:r>
              <w:t>99%</w:t>
            </w:r>
          </w:p>
        </w:tc>
      </w:tr>
    </w:tbl>
    <w:p w14:paraId="5EA8C4B0" w14:textId="77777777" w:rsidR="00F00935" w:rsidRDefault="00F00935" w:rsidP="00F00935">
      <w:pPr>
        <w:rPr>
          <w:highlight w:val="red"/>
        </w:rPr>
      </w:pPr>
    </w:p>
    <w:p w14:paraId="0B8E8BD4" w14:textId="1A0BE52A" w:rsidR="00F00935" w:rsidRPr="00F00935" w:rsidRDefault="00F00935" w:rsidP="00F00935">
      <w:pPr>
        <w:pStyle w:val="Heading4"/>
        <w:numPr>
          <w:ilvl w:val="0"/>
          <w:numId w:val="0"/>
        </w:numPr>
        <w:jc w:val="center"/>
        <w:rPr>
          <w:rFonts w:ascii="Times New Roman" w:hAnsi="Times New Roman" w:cs="Times New Roman"/>
          <w:i w:val="0"/>
          <w:iCs w:val="0"/>
        </w:rPr>
      </w:pPr>
      <w:bookmarkStart w:id="4" w:name="_Toc120902076"/>
      <w:r w:rsidRPr="00F00935">
        <w:rPr>
          <w:rFonts w:ascii="Times New Roman" w:hAnsi="Times New Roman" w:cs="Times New Roman"/>
          <w:b/>
          <w:bCs/>
          <w:i w:val="0"/>
          <w:iCs w:val="0"/>
        </w:rPr>
        <w:t>Table 2.2.</w:t>
      </w:r>
      <w:r w:rsidRPr="00F00935">
        <w:rPr>
          <w:rFonts w:ascii="Times New Roman" w:hAnsi="Times New Roman" w:cs="Times New Roman"/>
          <w:i w:val="0"/>
          <w:iCs w:val="0"/>
        </w:rPr>
        <w:t xml:space="preserve"> Generalized Linear Model Comparing Body and Bill Morphology Principal Component 1 Between Male and Female Wild and Game-Farm Mallards</w:t>
      </w:r>
      <w:bookmarkEnd w:id="4"/>
    </w:p>
    <w:p w14:paraId="55633F78" w14:textId="77777777" w:rsidR="00F00935" w:rsidRPr="00F00935" w:rsidRDefault="00F00935" w:rsidP="00F00935">
      <w:pPr>
        <w:pStyle w:val="Heading4"/>
        <w:numPr>
          <w:ilvl w:val="0"/>
          <w:numId w:val="0"/>
        </w:numPr>
        <w:jc w:val="center"/>
        <w:rPr>
          <w:rFonts w:ascii="Times New Roman" w:hAnsi="Times New Roman" w:cs="Times New Roman"/>
          <w:i w:val="0"/>
          <w:iCs w:val="0"/>
        </w:rPr>
      </w:pPr>
    </w:p>
    <w:tbl>
      <w:tblPr>
        <w:tblStyle w:val="PlainTable5"/>
        <w:tblW w:w="0" w:type="auto"/>
        <w:tblLook w:val="04A0" w:firstRow="1" w:lastRow="0" w:firstColumn="1" w:lastColumn="0" w:noHBand="0" w:noVBand="1"/>
      </w:tblPr>
      <w:tblGrid>
        <w:gridCol w:w="1726"/>
        <w:gridCol w:w="1726"/>
        <w:gridCol w:w="1726"/>
        <w:gridCol w:w="1726"/>
        <w:gridCol w:w="1726"/>
      </w:tblGrid>
      <w:tr w:rsidR="00F00935" w:rsidRPr="00F00935" w14:paraId="746A0F05" w14:textId="77777777" w:rsidTr="001A19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Pr>
          <w:p w14:paraId="7696E91A" w14:textId="77777777" w:rsidR="00F00935" w:rsidRPr="00F00935" w:rsidRDefault="00F00935" w:rsidP="00F00935">
            <w:pPr>
              <w:rPr>
                <w:sz w:val="24"/>
              </w:rPr>
            </w:pPr>
            <w:r w:rsidRPr="00F00935">
              <w:rPr>
                <w:sz w:val="24"/>
              </w:rPr>
              <w:t>Predictor</w:t>
            </w:r>
          </w:p>
        </w:tc>
        <w:tc>
          <w:tcPr>
            <w:tcW w:w="1726" w:type="dxa"/>
          </w:tcPr>
          <w:p w14:paraId="16798747"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rPr>
            </w:pPr>
            <w:r w:rsidRPr="00F00935">
              <w:rPr>
                <w:sz w:val="24"/>
              </w:rPr>
              <w:t>Parameter Estimate</w:t>
            </w:r>
          </w:p>
        </w:tc>
        <w:tc>
          <w:tcPr>
            <w:tcW w:w="1726" w:type="dxa"/>
          </w:tcPr>
          <w:p w14:paraId="4F4779F2"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rPr>
            </w:pPr>
            <w:r w:rsidRPr="00F00935">
              <w:rPr>
                <w:sz w:val="24"/>
              </w:rPr>
              <w:t>Standard Error</w:t>
            </w:r>
          </w:p>
        </w:tc>
        <w:tc>
          <w:tcPr>
            <w:tcW w:w="1726" w:type="dxa"/>
          </w:tcPr>
          <w:p w14:paraId="041E19E0"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rPr>
            </w:pPr>
            <w:r w:rsidRPr="00F00935">
              <w:rPr>
                <w:sz w:val="24"/>
              </w:rPr>
              <w:t>Student-T Value</w:t>
            </w:r>
          </w:p>
        </w:tc>
        <w:tc>
          <w:tcPr>
            <w:tcW w:w="1726" w:type="dxa"/>
          </w:tcPr>
          <w:p w14:paraId="11D35B81"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rPr>
            </w:pPr>
            <w:proofErr w:type="spellStart"/>
            <w:r w:rsidRPr="00F00935">
              <w:rPr>
                <w:sz w:val="24"/>
              </w:rPr>
              <w:t>Pr</w:t>
            </w:r>
            <w:proofErr w:type="spellEnd"/>
            <w:r w:rsidRPr="00F00935">
              <w:rPr>
                <w:sz w:val="24"/>
              </w:rPr>
              <w:t>(&gt;|t|)</w:t>
            </w:r>
          </w:p>
        </w:tc>
      </w:tr>
      <w:tr w:rsidR="00F00935" w:rsidRPr="00F00935" w14:paraId="59FA85F7" w14:textId="77777777" w:rsidTr="001A1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23CF24A2" w14:textId="77777777" w:rsidR="00F00935" w:rsidRPr="00F00935" w:rsidRDefault="00F00935" w:rsidP="00F00935">
            <w:pPr>
              <w:rPr>
                <w:sz w:val="24"/>
              </w:rPr>
            </w:pPr>
            <w:r w:rsidRPr="00F00935">
              <w:rPr>
                <w:sz w:val="24"/>
              </w:rPr>
              <w:t>(Intercept [Wild])</w:t>
            </w:r>
          </w:p>
        </w:tc>
        <w:tc>
          <w:tcPr>
            <w:tcW w:w="1726" w:type="dxa"/>
          </w:tcPr>
          <w:p w14:paraId="5CBD3164"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17.28</w:t>
            </w:r>
          </w:p>
        </w:tc>
        <w:tc>
          <w:tcPr>
            <w:tcW w:w="1726" w:type="dxa"/>
          </w:tcPr>
          <w:p w14:paraId="611CC1A9"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2.28</w:t>
            </w:r>
          </w:p>
        </w:tc>
        <w:tc>
          <w:tcPr>
            <w:tcW w:w="1726" w:type="dxa"/>
          </w:tcPr>
          <w:p w14:paraId="273E65A9"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6.2</w:t>
            </w:r>
          </w:p>
        </w:tc>
        <w:tc>
          <w:tcPr>
            <w:tcW w:w="1726" w:type="dxa"/>
          </w:tcPr>
          <w:p w14:paraId="1FCEC223"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&lt; 0.001</w:t>
            </w:r>
          </w:p>
        </w:tc>
      </w:tr>
      <w:tr w:rsidR="00F00935" w:rsidRPr="00F00935" w14:paraId="15D2EE72" w14:textId="77777777" w:rsidTr="001A1948">
        <w:tc>
          <w:tcPr>
            <w:cnfStyle w:val="001000000000" w:firstRow="0" w:lastRow="0" w:firstColumn="1" w:lastColumn="0" w:oddVBand="0" w:evenVBand="0" w:oddHBand="0" w:evenHBand="0" w:firstRowFirstColumn="0" w:firstRowLastColumn="0" w:lastRowFirstColumn="0" w:lastRowLastColumn="0"/>
            <w:tcW w:w="1726" w:type="dxa"/>
          </w:tcPr>
          <w:p w14:paraId="7AF238FB" w14:textId="77777777" w:rsidR="00F00935" w:rsidRPr="00F00935" w:rsidRDefault="00F00935" w:rsidP="00F00935">
            <w:pPr>
              <w:rPr>
                <w:sz w:val="24"/>
              </w:rPr>
            </w:pPr>
            <w:r w:rsidRPr="00F00935">
              <w:rPr>
                <w:sz w:val="24"/>
              </w:rPr>
              <w:t>Source (Game-farm)</w:t>
            </w:r>
          </w:p>
        </w:tc>
        <w:tc>
          <w:tcPr>
            <w:tcW w:w="1726" w:type="dxa"/>
          </w:tcPr>
          <w:p w14:paraId="3980F6BC"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3.76</w:t>
            </w:r>
          </w:p>
        </w:tc>
        <w:tc>
          <w:tcPr>
            <w:tcW w:w="1726" w:type="dxa"/>
          </w:tcPr>
          <w:p w14:paraId="23866663"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2.96</w:t>
            </w:r>
          </w:p>
        </w:tc>
        <w:tc>
          <w:tcPr>
            <w:tcW w:w="1726" w:type="dxa"/>
          </w:tcPr>
          <w:p w14:paraId="7612A081"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1.3</w:t>
            </w:r>
          </w:p>
        </w:tc>
        <w:tc>
          <w:tcPr>
            <w:tcW w:w="1726" w:type="dxa"/>
          </w:tcPr>
          <w:p w14:paraId="43A46C13"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0.21</w:t>
            </w:r>
          </w:p>
        </w:tc>
      </w:tr>
      <w:tr w:rsidR="00F00935" w:rsidRPr="00F00935" w14:paraId="33C9B82F" w14:textId="77777777" w:rsidTr="001A1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58124136" w14:textId="77777777" w:rsidR="00F00935" w:rsidRPr="00F00935" w:rsidRDefault="00F00935" w:rsidP="00F00935">
            <w:pPr>
              <w:rPr>
                <w:sz w:val="24"/>
              </w:rPr>
            </w:pPr>
            <w:r w:rsidRPr="00F00935">
              <w:rPr>
                <w:sz w:val="24"/>
              </w:rPr>
              <w:t>Category (Pinola)</w:t>
            </w:r>
          </w:p>
        </w:tc>
        <w:tc>
          <w:tcPr>
            <w:tcW w:w="1726" w:type="dxa"/>
          </w:tcPr>
          <w:p w14:paraId="4F5C9E7E"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-1.10</w:t>
            </w:r>
          </w:p>
        </w:tc>
        <w:tc>
          <w:tcPr>
            <w:tcW w:w="1726" w:type="dxa"/>
          </w:tcPr>
          <w:p w14:paraId="2F391480"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3.43</w:t>
            </w:r>
          </w:p>
        </w:tc>
        <w:tc>
          <w:tcPr>
            <w:tcW w:w="1726" w:type="dxa"/>
          </w:tcPr>
          <w:p w14:paraId="3BD44C57"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-0.3</w:t>
            </w:r>
          </w:p>
        </w:tc>
        <w:tc>
          <w:tcPr>
            <w:tcW w:w="1726" w:type="dxa"/>
          </w:tcPr>
          <w:p w14:paraId="5A817747" w14:textId="77777777" w:rsidR="00F00935" w:rsidRPr="00F00935" w:rsidRDefault="00F00935" w:rsidP="00F00935">
            <w:pPr>
              <w:cnfStyle w:val="000000100000" w:firstRow="0" w:lastRow="0" w:firstColumn="0" w:lastColumn="0" w:oddVBand="0" w:evenVBand="0" w:oddHBand="1" w:evenHBand="0" w:firstRowFirstColumn="0" w:firstRowLastColumn="0" w:lastRowFirstColumn="0" w:lastRowLastColumn="0"/>
            </w:pPr>
            <w:r w:rsidRPr="00F00935">
              <w:t>0.75</w:t>
            </w:r>
          </w:p>
        </w:tc>
      </w:tr>
      <w:tr w:rsidR="00F00935" w:rsidRPr="00F00935" w14:paraId="42372F24" w14:textId="77777777" w:rsidTr="001A1948">
        <w:trPr>
          <w:trHeight w:val="87"/>
        </w:trPr>
        <w:tc>
          <w:tcPr>
            <w:cnfStyle w:val="001000000000" w:firstRow="0" w:lastRow="0" w:firstColumn="1" w:lastColumn="0" w:oddVBand="0" w:evenVBand="0" w:oddHBand="0" w:evenHBand="0" w:firstRowFirstColumn="0" w:firstRowLastColumn="0" w:lastRowFirstColumn="0" w:lastRowLastColumn="0"/>
            <w:tcW w:w="1726" w:type="dxa"/>
          </w:tcPr>
          <w:p w14:paraId="5CABB14C" w14:textId="77777777" w:rsidR="00F00935" w:rsidRPr="00F00935" w:rsidRDefault="00F00935" w:rsidP="00F00935">
            <w:pPr>
              <w:rPr>
                <w:sz w:val="24"/>
              </w:rPr>
            </w:pPr>
            <w:r w:rsidRPr="00F00935">
              <w:rPr>
                <w:sz w:val="24"/>
              </w:rPr>
              <w:t>Sex (Female)</w:t>
            </w:r>
          </w:p>
        </w:tc>
        <w:tc>
          <w:tcPr>
            <w:tcW w:w="1726" w:type="dxa"/>
          </w:tcPr>
          <w:p w14:paraId="41BDA2BA"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-40.37</w:t>
            </w:r>
          </w:p>
        </w:tc>
        <w:tc>
          <w:tcPr>
            <w:tcW w:w="1726" w:type="dxa"/>
          </w:tcPr>
          <w:p w14:paraId="2318858D"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2.91</w:t>
            </w:r>
          </w:p>
        </w:tc>
        <w:tc>
          <w:tcPr>
            <w:tcW w:w="1726" w:type="dxa"/>
          </w:tcPr>
          <w:p w14:paraId="7EC82CBD"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-13.8</w:t>
            </w:r>
          </w:p>
        </w:tc>
        <w:tc>
          <w:tcPr>
            <w:tcW w:w="1726" w:type="dxa"/>
          </w:tcPr>
          <w:p w14:paraId="6069498A" w14:textId="77777777" w:rsidR="00F00935" w:rsidRPr="00F00935" w:rsidRDefault="00F00935" w:rsidP="00F00935">
            <w:pPr>
              <w:cnfStyle w:val="000000000000" w:firstRow="0" w:lastRow="0" w:firstColumn="0" w:lastColumn="0" w:oddVBand="0" w:evenVBand="0" w:oddHBand="0" w:evenHBand="0" w:firstRowFirstColumn="0" w:firstRowLastColumn="0" w:lastRowFirstColumn="0" w:lastRowLastColumn="0"/>
            </w:pPr>
            <w:r w:rsidRPr="00F00935">
              <w:t>&lt; 0.001</w:t>
            </w:r>
          </w:p>
        </w:tc>
      </w:tr>
    </w:tbl>
    <w:p w14:paraId="6EE76382" w14:textId="675207B1" w:rsidR="00F00935" w:rsidRPr="00F00935" w:rsidRDefault="00F00935" w:rsidP="00F00935"/>
    <w:p w14:paraId="6FD52F84" w14:textId="24ABD3C1" w:rsidR="00F00935" w:rsidRPr="00F00935" w:rsidRDefault="00F00935" w:rsidP="00F00935">
      <w:r w:rsidRPr="00F00935">
        <w:t>Residual Deviance = 35736 on 128 degrees of freedom</w:t>
      </w:r>
    </w:p>
    <w:p w14:paraId="608CE0EC" w14:textId="77777777" w:rsidR="00F00935" w:rsidRPr="00F00935" w:rsidRDefault="00F00935" w:rsidP="00F00935">
      <w:r w:rsidRPr="00F00935">
        <w:t>AIC = 1123.9</w:t>
      </w:r>
    </w:p>
    <w:p w14:paraId="20CB03C0" w14:textId="1059EABF" w:rsidR="00F00935" w:rsidRDefault="00F00935" w:rsidP="00BA4B65"/>
    <w:p w14:paraId="648F4AD2" w14:textId="77777777" w:rsidR="00B27ED8" w:rsidRDefault="00B27ED8" w:rsidP="00BA4B65"/>
    <w:p w14:paraId="6D70AA0F" w14:textId="77777777" w:rsidR="00F00935" w:rsidRDefault="00F00935" w:rsidP="00F00935">
      <w:pPr>
        <w:spacing w:line="480" w:lineRule="auto"/>
        <w:jc w:val="center"/>
        <w:rPr>
          <w:b/>
          <w:bCs/>
        </w:rPr>
      </w:pPr>
      <w:r>
        <w:rPr>
          <w:noProof/>
        </w:rPr>
        <w:drawing>
          <wp:inline distT="0" distB="0" distL="0" distR="0" wp14:anchorId="183EBA31" wp14:editId="731FAE2A">
            <wp:extent cx="4178595" cy="2583571"/>
            <wp:effectExtent l="0" t="0" r="0" b="0"/>
            <wp:docPr id="16" name="Picture 16" descr="Plot of Principal Component Analysis of Wild and Game-farm Mallard Body and Bill Morphologies by Source and Sex. Comparing PC1 vs. 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lot of Principal Component Analysis of Wild and Game-farm Mallard Body and Bill Morphologies by Source and Sex. Comparing PC1 vs. PC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7956" cy="2601725"/>
                    </a:xfrm>
                    <a:prstGeom prst="rect">
                      <a:avLst/>
                    </a:prstGeom>
                  </pic:spPr>
                </pic:pic>
              </a:graphicData>
            </a:graphic>
          </wp:inline>
        </w:drawing>
      </w:r>
    </w:p>
    <w:p w14:paraId="2F281E50" w14:textId="65C8468C" w:rsidR="00F00935" w:rsidRDefault="00F00935" w:rsidP="00442C37">
      <w:pPr>
        <w:jc w:val="center"/>
      </w:pPr>
      <w:r w:rsidRPr="002742A9">
        <w:rPr>
          <w:b/>
          <w:bCs/>
        </w:rPr>
        <w:t>Figure 2.</w:t>
      </w:r>
      <w:r w:rsidR="00C05395">
        <w:rPr>
          <w:b/>
          <w:bCs/>
        </w:rPr>
        <w:t>1</w:t>
      </w:r>
      <w:r w:rsidRPr="002742A9">
        <w:rPr>
          <w:b/>
          <w:bCs/>
        </w:rPr>
        <w:t>.</w:t>
      </w:r>
      <w:r w:rsidRPr="002742A9">
        <w:t xml:space="preserve">  </w:t>
      </w:r>
      <w:r>
        <w:t xml:space="preserve">Plot of </w:t>
      </w:r>
      <w:r w:rsidRPr="002742A9">
        <w:t xml:space="preserve">Principal Component Analysis of </w:t>
      </w:r>
      <w:r>
        <w:t xml:space="preserve">Wild and Game-farm </w:t>
      </w:r>
      <w:r w:rsidRPr="00F91949">
        <w:t>Mallard</w:t>
      </w:r>
      <w:r w:rsidRPr="002742A9">
        <w:rPr>
          <w:i/>
          <w:iCs/>
        </w:rPr>
        <w:t xml:space="preserve"> </w:t>
      </w:r>
      <w:r w:rsidRPr="002742A9">
        <w:t>Body and Bill Morphologies by Source and Sex</w:t>
      </w:r>
      <w:r>
        <w:t>. Comparing PC1 vs. PC2.</w:t>
      </w:r>
    </w:p>
    <w:p w14:paraId="45845F35" w14:textId="3648A0A1" w:rsidR="00F00935" w:rsidRDefault="00F00935" w:rsidP="00F00935">
      <w:pPr>
        <w:jc w:val="center"/>
      </w:pPr>
    </w:p>
    <w:p w14:paraId="1B4710BD" w14:textId="77777777" w:rsidR="00B27ED8" w:rsidRDefault="00B27ED8" w:rsidP="00F00935">
      <w:pPr>
        <w:jc w:val="center"/>
      </w:pPr>
    </w:p>
    <w:p w14:paraId="792060A5" w14:textId="77777777" w:rsidR="00F00935" w:rsidRPr="00F42160" w:rsidRDefault="00F00935" w:rsidP="00F00935">
      <w:pPr>
        <w:pStyle w:val="Heading4"/>
        <w:numPr>
          <w:ilvl w:val="0"/>
          <w:numId w:val="0"/>
        </w:numPr>
        <w:jc w:val="center"/>
        <w:rPr>
          <w:rFonts w:ascii="Times New Roman" w:hAnsi="Times New Roman" w:cs="Times New Roman"/>
          <w:i w:val="0"/>
          <w:iCs w:val="0"/>
          <w:color w:val="000000" w:themeColor="text1"/>
        </w:rPr>
      </w:pPr>
      <w:bookmarkStart w:id="5" w:name="_Toc120902098"/>
      <w:r w:rsidRPr="00F42160">
        <w:rPr>
          <w:rFonts w:ascii="Times New Roman" w:hAnsi="Times New Roman" w:cs="Times New Roman"/>
          <w:b/>
          <w:bCs/>
          <w:i w:val="0"/>
          <w:iCs w:val="0"/>
          <w:color w:val="000000" w:themeColor="text1"/>
        </w:rPr>
        <w:t xml:space="preserve">Table 3.1. </w:t>
      </w:r>
      <w:r w:rsidRPr="00F42160">
        <w:rPr>
          <w:rFonts w:ascii="Times New Roman" w:hAnsi="Times New Roman" w:cs="Times New Roman"/>
          <w:i w:val="0"/>
          <w:iCs w:val="0"/>
          <w:color w:val="000000" w:themeColor="text1"/>
        </w:rPr>
        <w:t>Descriptive Statistics of Wild and Game-farm Mallard Participants in  Feeding Efficiency Trials.</w:t>
      </w:r>
      <w:bookmarkEnd w:id="5"/>
    </w:p>
    <w:p w14:paraId="59F9B085" w14:textId="77777777" w:rsidR="00F00935" w:rsidRPr="003644E5" w:rsidRDefault="00F00935" w:rsidP="00F00935">
      <w:pPr>
        <w:jc w:val="center"/>
        <w:rPr>
          <w:highlight w:val="red"/>
        </w:rPr>
      </w:pPr>
    </w:p>
    <w:tbl>
      <w:tblPr>
        <w:tblStyle w:val="PlainTable5"/>
        <w:tblW w:w="0" w:type="auto"/>
        <w:jc w:val="center"/>
        <w:tblLook w:val="04A0" w:firstRow="1" w:lastRow="0" w:firstColumn="1" w:lastColumn="0" w:noHBand="0" w:noVBand="1"/>
      </w:tblPr>
      <w:tblGrid>
        <w:gridCol w:w="1999"/>
        <w:gridCol w:w="1377"/>
        <w:gridCol w:w="654"/>
        <w:gridCol w:w="893"/>
        <w:gridCol w:w="1358"/>
        <w:gridCol w:w="1363"/>
        <w:gridCol w:w="1256"/>
      </w:tblGrid>
      <w:tr w:rsidR="00F00935" w:rsidRPr="00F00935" w14:paraId="32E9ABF9" w14:textId="77777777" w:rsidTr="001A194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99" w:type="dxa"/>
          </w:tcPr>
          <w:p w14:paraId="23CCECD4" w14:textId="77777777" w:rsidR="00F00935" w:rsidRPr="00F00935" w:rsidRDefault="00F00935" w:rsidP="00F00935">
            <w:pPr>
              <w:jc w:val="left"/>
              <w:rPr>
                <w:sz w:val="24"/>
                <w:shd w:val="clear" w:color="auto" w:fill="FFFFFF"/>
              </w:rPr>
            </w:pPr>
            <w:r w:rsidRPr="00F00935">
              <w:rPr>
                <w:sz w:val="24"/>
                <w:shd w:val="clear" w:color="auto" w:fill="FFFFFF"/>
              </w:rPr>
              <w:t>Characteristic Group</w:t>
            </w:r>
          </w:p>
        </w:tc>
        <w:tc>
          <w:tcPr>
            <w:tcW w:w="654" w:type="dxa"/>
          </w:tcPr>
          <w:p w14:paraId="07A645CE"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shd w:val="clear" w:color="auto" w:fill="FFFFFF"/>
              </w:rPr>
            </w:pPr>
            <w:r w:rsidRPr="00F00935">
              <w:rPr>
                <w:sz w:val="24"/>
                <w:shd w:val="clear" w:color="auto" w:fill="FFFFFF"/>
              </w:rPr>
              <w:t>Number of participants</w:t>
            </w:r>
          </w:p>
        </w:tc>
        <w:tc>
          <w:tcPr>
            <w:tcW w:w="654" w:type="dxa"/>
          </w:tcPr>
          <w:p w14:paraId="10D09993"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shd w:val="clear" w:color="auto" w:fill="FFFFFF"/>
                <w:vertAlign w:val="superscript"/>
              </w:rPr>
            </w:pPr>
            <w:r w:rsidRPr="00F00935">
              <w:rPr>
                <w:sz w:val="24"/>
                <w:shd w:val="clear" w:color="auto" w:fill="FFFFFF"/>
              </w:rPr>
              <w:t>N</w:t>
            </w:r>
            <w:r w:rsidRPr="00F00935">
              <w:rPr>
                <w:sz w:val="24"/>
                <w:shd w:val="clear" w:color="auto" w:fill="FFFFFF"/>
                <w:vertAlign w:val="superscript"/>
              </w:rPr>
              <w:t>1</w:t>
            </w:r>
          </w:p>
        </w:tc>
        <w:tc>
          <w:tcPr>
            <w:tcW w:w="893" w:type="dxa"/>
          </w:tcPr>
          <w:p w14:paraId="2DA0568C"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shd w:val="clear" w:color="auto" w:fill="FFFFFF"/>
                <w:vertAlign w:val="superscript"/>
              </w:rPr>
            </w:pPr>
            <w:r w:rsidRPr="00F00935">
              <w:rPr>
                <w:sz w:val="24"/>
                <w:shd w:val="clear" w:color="auto" w:fill="FFFFFF"/>
              </w:rPr>
              <w:t>Mean</w:t>
            </w:r>
            <w:r w:rsidRPr="00F00935">
              <w:rPr>
                <w:sz w:val="24"/>
                <w:shd w:val="clear" w:color="auto" w:fill="FFFFFF"/>
                <w:vertAlign w:val="superscript"/>
              </w:rPr>
              <w:t>2</w:t>
            </w:r>
          </w:p>
        </w:tc>
        <w:tc>
          <w:tcPr>
            <w:tcW w:w="1358" w:type="dxa"/>
          </w:tcPr>
          <w:p w14:paraId="7B2510E6"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shd w:val="clear" w:color="auto" w:fill="FFFFFF"/>
              </w:rPr>
            </w:pPr>
            <w:r w:rsidRPr="00F00935">
              <w:rPr>
                <w:sz w:val="24"/>
                <w:shd w:val="clear" w:color="auto" w:fill="FFFFFF"/>
              </w:rPr>
              <w:t>Standard Deviation</w:t>
            </w:r>
          </w:p>
        </w:tc>
        <w:tc>
          <w:tcPr>
            <w:tcW w:w="1363" w:type="dxa"/>
          </w:tcPr>
          <w:p w14:paraId="580631CD"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shd w:val="clear" w:color="auto" w:fill="FFFFFF"/>
              </w:rPr>
            </w:pPr>
            <w:r w:rsidRPr="00F00935">
              <w:rPr>
                <w:sz w:val="24"/>
                <w:shd w:val="clear" w:color="auto" w:fill="FFFFFF"/>
              </w:rPr>
              <w:t>Minimum</w:t>
            </w:r>
          </w:p>
        </w:tc>
        <w:tc>
          <w:tcPr>
            <w:tcW w:w="1256" w:type="dxa"/>
          </w:tcPr>
          <w:p w14:paraId="00B17532" w14:textId="77777777" w:rsidR="00F00935" w:rsidRPr="00F00935" w:rsidRDefault="00F00935" w:rsidP="00F00935">
            <w:pPr>
              <w:cnfStyle w:val="100000000000" w:firstRow="1" w:lastRow="0" w:firstColumn="0" w:lastColumn="0" w:oddVBand="0" w:evenVBand="0" w:oddHBand="0" w:evenHBand="0" w:firstRowFirstColumn="0" w:firstRowLastColumn="0" w:lastRowFirstColumn="0" w:lastRowLastColumn="0"/>
              <w:rPr>
                <w:sz w:val="24"/>
                <w:shd w:val="clear" w:color="auto" w:fill="FFFFFF"/>
              </w:rPr>
            </w:pPr>
            <w:r w:rsidRPr="00F00935">
              <w:rPr>
                <w:sz w:val="24"/>
                <w:shd w:val="clear" w:color="auto" w:fill="FFFFFF"/>
              </w:rPr>
              <w:t>Maximum</w:t>
            </w:r>
          </w:p>
        </w:tc>
      </w:tr>
      <w:tr w:rsidR="00F00935" w:rsidRPr="00F00935" w14:paraId="56765E8D"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14:paraId="49773AC3" w14:textId="77777777" w:rsidR="00F00935" w:rsidRPr="00F00935" w:rsidRDefault="00F00935" w:rsidP="001A1948">
            <w:pPr>
              <w:jc w:val="left"/>
              <w:rPr>
                <w:sz w:val="24"/>
                <w:shd w:val="clear" w:color="auto" w:fill="FFFFFF"/>
              </w:rPr>
            </w:pPr>
            <w:r w:rsidRPr="00F00935">
              <w:rPr>
                <w:sz w:val="24"/>
                <w:shd w:val="clear" w:color="auto" w:fill="FFFFFF"/>
              </w:rPr>
              <w:t>Wild Female</w:t>
            </w:r>
          </w:p>
        </w:tc>
        <w:tc>
          <w:tcPr>
            <w:tcW w:w="654" w:type="dxa"/>
          </w:tcPr>
          <w:p w14:paraId="7E161EDE"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20</w:t>
            </w:r>
          </w:p>
        </w:tc>
        <w:tc>
          <w:tcPr>
            <w:tcW w:w="654" w:type="dxa"/>
          </w:tcPr>
          <w:p w14:paraId="31AB32DF"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76</w:t>
            </w:r>
          </w:p>
        </w:tc>
        <w:tc>
          <w:tcPr>
            <w:tcW w:w="893" w:type="dxa"/>
          </w:tcPr>
          <w:p w14:paraId="0FCB512F"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0.26</w:t>
            </w:r>
          </w:p>
        </w:tc>
        <w:tc>
          <w:tcPr>
            <w:tcW w:w="1358" w:type="dxa"/>
          </w:tcPr>
          <w:p w14:paraId="05F62616"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m:oMath>
              <m:r>
                <m:rPr>
                  <m:sty m:val="p"/>
                </m:rPr>
                <w:rPr>
                  <w:rFonts w:ascii="Cambria Math" w:hAnsi="Cambria Math"/>
                  <w:shd w:val="clear" w:color="auto" w:fill="FFFFFF"/>
                </w:rPr>
                <m:t>±</m:t>
              </m:r>
            </m:oMath>
            <w:r w:rsidRPr="00F00935">
              <w:rPr>
                <w:shd w:val="clear" w:color="auto" w:fill="FFFFFF"/>
              </w:rPr>
              <w:t xml:space="preserve"> 0.30</w:t>
            </w:r>
          </w:p>
        </w:tc>
        <w:tc>
          <w:tcPr>
            <w:tcW w:w="1363" w:type="dxa"/>
          </w:tcPr>
          <w:p w14:paraId="4F1FBB56"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0.01</w:t>
            </w:r>
          </w:p>
        </w:tc>
        <w:tc>
          <w:tcPr>
            <w:tcW w:w="1256" w:type="dxa"/>
          </w:tcPr>
          <w:p w14:paraId="0F62A591"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1.80</w:t>
            </w:r>
          </w:p>
        </w:tc>
      </w:tr>
      <w:tr w:rsidR="00F00935" w:rsidRPr="00F00935" w14:paraId="396D5592"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999" w:type="dxa"/>
          </w:tcPr>
          <w:p w14:paraId="16162DE1" w14:textId="77777777" w:rsidR="00F00935" w:rsidRPr="00F00935" w:rsidRDefault="00F00935" w:rsidP="001A1948">
            <w:pPr>
              <w:jc w:val="left"/>
              <w:rPr>
                <w:sz w:val="24"/>
                <w:shd w:val="clear" w:color="auto" w:fill="FFFFFF"/>
              </w:rPr>
            </w:pPr>
            <w:r w:rsidRPr="00F00935">
              <w:rPr>
                <w:sz w:val="24"/>
                <w:shd w:val="clear" w:color="auto" w:fill="FFFFFF"/>
              </w:rPr>
              <w:t>Wild Male</w:t>
            </w:r>
          </w:p>
        </w:tc>
        <w:tc>
          <w:tcPr>
            <w:tcW w:w="654" w:type="dxa"/>
          </w:tcPr>
          <w:p w14:paraId="6BEABE5E"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16</w:t>
            </w:r>
          </w:p>
        </w:tc>
        <w:tc>
          <w:tcPr>
            <w:tcW w:w="654" w:type="dxa"/>
          </w:tcPr>
          <w:p w14:paraId="27960DBE"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75</w:t>
            </w:r>
          </w:p>
        </w:tc>
        <w:tc>
          <w:tcPr>
            <w:tcW w:w="893" w:type="dxa"/>
          </w:tcPr>
          <w:p w14:paraId="4299F396"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0.25</w:t>
            </w:r>
          </w:p>
        </w:tc>
        <w:tc>
          <w:tcPr>
            <w:tcW w:w="1358" w:type="dxa"/>
          </w:tcPr>
          <w:p w14:paraId="272298DC"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m:oMath>
              <m:r>
                <m:rPr>
                  <m:sty m:val="p"/>
                </m:rPr>
                <w:rPr>
                  <w:rFonts w:ascii="Cambria Math" w:hAnsi="Cambria Math"/>
                  <w:shd w:val="clear" w:color="auto" w:fill="FFFFFF"/>
                </w:rPr>
                <m:t>±</m:t>
              </m:r>
            </m:oMath>
            <w:r w:rsidRPr="00F00935">
              <w:rPr>
                <w:shd w:val="clear" w:color="auto" w:fill="FFFFFF"/>
              </w:rPr>
              <w:t xml:space="preserve"> 0.20</w:t>
            </w:r>
          </w:p>
        </w:tc>
        <w:tc>
          <w:tcPr>
            <w:tcW w:w="1363" w:type="dxa"/>
          </w:tcPr>
          <w:p w14:paraId="754F01D1"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0.02</w:t>
            </w:r>
          </w:p>
        </w:tc>
        <w:tc>
          <w:tcPr>
            <w:tcW w:w="1256" w:type="dxa"/>
          </w:tcPr>
          <w:p w14:paraId="73059D38"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1.10</w:t>
            </w:r>
          </w:p>
        </w:tc>
      </w:tr>
      <w:tr w:rsidR="00F00935" w:rsidRPr="00F00935" w14:paraId="40ECF6D5"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9" w:type="dxa"/>
          </w:tcPr>
          <w:p w14:paraId="32788EFE" w14:textId="77777777" w:rsidR="00F00935" w:rsidRPr="00F00935" w:rsidRDefault="00F00935" w:rsidP="001A1948">
            <w:pPr>
              <w:jc w:val="left"/>
              <w:rPr>
                <w:sz w:val="24"/>
                <w:shd w:val="clear" w:color="auto" w:fill="FFFFFF"/>
              </w:rPr>
            </w:pPr>
            <w:r w:rsidRPr="00F00935">
              <w:rPr>
                <w:sz w:val="24"/>
                <w:shd w:val="clear" w:color="auto" w:fill="FFFFFF"/>
              </w:rPr>
              <w:lastRenderedPageBreak/>
              <w:t>Game-farm Female</w:t>
            </w:r>
          </w:p>
        </w:tc>
        <w:tc>
          <w:tcPr>
            <w:tcW w:w="654" w:type="dxa"/>
          </w:tcPr>
          <w:p w14:paraId="56126EA7"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40</w:t>
            </w:r>
          </w:p>
        </w:tc>
        <w:tc>
          <w:tcPr>
            <w:tcW w:w="654" w:type="dxa"/>
          </w:tcPr>
          <w:p w14:paraId="1C2BE858"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198</w:t>
            </w:r>
          </w:p>
        </w:tc>
        <w:tc>
          <w:tcPr>
            <w:tcW w:w="893" w:type="dxa"/>
          </w:tcPr>
          <w:p w14:paraId="5B7D2C1E"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0.09</w:t>
            </w:r>
          </w:p>
        </w:tc>
        <w:tc>
          <w:tcPr>
            <w:tcW w:w="1358" w:type="dxa"/>
          </w:tcPr>
          <w:p w14:paraId="6C1264EB"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m:oMath>
              <m:r>
                <m:rPr>
                  <m:sty m:val="p"/>
                </m:rPr>
                <w:rPr>
                  <w:rFonts w:ascii="Cambria Math" w:hAnsi="Cambria Math"/>
                  <w:shd w:val="clear" w:color="auto" w:fill="FFFFFF"/>
                </w:rPr>
                <m:t>±</m:t>
              </m:r>
            </m:oMath>
            <w:r w:rsidRPr="00F00935">
              <w:rPr>
                <w:shd w:val="clear" w:color="auto" w:fill="FFFFFF"/>
              </w:rPr>
              <w:t xml:space="preserve"> 0.11</w:t>
            </w:r>
          </w:p>
        </w:tc>
        <w:tc>
          <w:tcPr>
            <w:tcW w:w="1363" w:type="dxa"/>
          </w:tcPr>
          <w:p w14:paraId="18B68C66"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0.001</w:t>
            </w:r>
          </w:p>
        </w:tc>
        <w:tc>
          <w:tcPr>
            <w:tcW w:w="1256" w:type="dxa"/>
          </w:tcPr>
          <w:p w14:paraId="2E34F6CE"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rPr>
                <w:shd w:val="clear" w:color="auto" w:fill="FFFFFF"/>
              </w:rPr>
            </w:pPr>
            <w:r w:rsidRPr="00F00935">
              <w:rPr>
                <w:shd w:val="clear" w:color="auto" w:fill="FFFFFF"/>
              </w:rPr>
              <w:t>0.75</w:t>
            </w:r>
          </w:p>
        </w:tc>
      </w:tr>
      <w:tr w:rsidR="00F00935" w:rsidRPr="00F00935" w14:paraId="31337F39"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999" w:type="dxa"/>
          </w:tcPr>
          <w:p w14:paraId="5DC6137B" w14:textId="77777777" w:rsidR="00F00935" w:rsidRPr="00F00935" w:rsidRDefault="00F00935" w:rsidP="001A1948">
            <w:pPr>
              <w:jc w:val="left"/>
              <w:rPr>
                <w:sz w:val="24"/>
                <w:shd w:val="clear" w:color="auto" w:fill="FFFFFF"/>
              </w:rPr>
            </w:pPr>
            <w:r w:rsidRPr="00F00935">
              <w:rPr>
                <w:sz w:val="24"/>
                <w:shd w:val="clear" w:color="auto" w:fill="FFFFFF"/>
              </w:rPr>
              <w:t>Game-farm Male</w:t>
            </w:r>
          </w:p>
        </w:tc>
        <w:tc>
          <w:tcPr>
            <w:tcW w:w="654" w:type="dxa"/>
          </w:tcPr>
          <w:p w14:paraId="12E6482D"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36</w:t>
            </w:r>
          </w:p>
        </w:tc>
        <w:tc>
          <w:tcPr>
            <w:tcW w:w="654" w:type="dxa"/>
          </w:tcPr>
          <w:p w14:paraId="276BAECE"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166</w:t>
            </w:r>
          </w:p>
        </w:tc>
        <w:tc>
          <w:tcPr>
            <w:tcW w:w="893" w:type="dxa"/>
          </w:tcPr>
          <w:p w14:paraId="691DE11C"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0.18</w:t>
            </w:r>
          </w:p>
        </w:tc>
        <w:tc>
          <w:tcPr>
            <w:tcW w:w="1358" w:type="dxa"/>
          </w:tcPr>
          <w:p w14:paraId="3A51EBEE"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m:oMath>
              <m:r>
                <m:rPr>
                  <m:sty m:val="p"/>
                </m:rPr>
                <w:rPr>
                  <w:rFonts w:ascii="Cambria Math" w:hAnsi="Cambria Math"/>
                  <w:shd w:val="clear" w:color="auto" w:fill="FFFFFF"/>
                </w:rPr>
                <m:t>±</m:t>
              </m:r>
            </m:oMath>
            <w:r w:rsidRPr="00F00935">
              <w:rPr>
                <w:shd w:val="clear" w:color="auto" w:fill="FFFFFF"/>
              </w:rPr>
              <w:t xml:space="preserve"> 0.25</w:t>
            </w:r>
          </w:p>
        </w:tc>
        <w:tc>
          <w:tcPr>
            <w:tcW w:w="1363" w:type="dxa"/>
          </w:tcPr>
          <w:p w14:paraId="73D4CD7E"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0.003</w:t>
            </w:r>
          </w:p>
        </w:tc>
        <w:tc>
          <w:tcPr>
            <w:tcW w:w="1256" w:type="dxa"/>
          </w:tcPr>
          <w:p w14:paraId="45DC5847"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rPr>
                <w:shd w:val="clear" w:color="auto" w:fill="FFFFFF"/>
              </w:rPr>
            </w:pPr>
            <w:r w:rsidRPr="00F00935">
              <w:rPr>
                <w:shd w:val="clear" w:color="auto" w:fill="FFFFFF"/>
              </w:rPr>
              <w:t>1.50</w:t>
            </w:r>
          </w:p>
        </w:tc>
      </w:tr>
    </w:tbl>
    <w:p w14:paraId="1FA488F9" w14:textId="2CDFC8CE" w:rsidR="00F00935" w:rsidRPr="00F00935" w:rsidRDefault="00F00935" w:rsidP="00442C37">
      <w:r w:rsidRPr="00F00935">
        <w:t>1 = Number of successful feeding trials (including repeat participants)</w:t>
      </w:r>
    </w:p>
    <w:p w14:paraId="32C331B8" w14:textId="7EB33420" w:rsidR="00F00935" w:rsidRPr="00F00935" w:rsidRDefault="00F00935" w:rsidP="00442C37">
      <w:r w:rsidRPr="00F00935">
        <w:t>2 = average feeding efficiency rate (grams/second)</w:t>
      </w:r>
    </w:p>
    <w:p w14:paraId="269B63D5" w14:textId="77777777" w:rsidR="00442C37" w:rsidRDefault="00442C37" w:rsidP="00442C37">
      <w:pPr>
        <w:pStyle w:val="Heading4"/>
        <w:numPr>
          <w:ilvl w:val="0"/>
          <w:numId w:val="0"/>
        </w:numPr>
        <w:jc w:val="center"/>
        <w:rPr>
          <w:rFonts w:ascii="Times New Roman" w:hAnsi="Times New Roman" w:cs="Times New Roman"/>
          <w:b/>
          <w:bCs/>
          <w:i w:val="0"/>
          <w:iCs w:val="0"/>
          <w:color w:val="000000" w:themeColor="text1"/>
        </w:rPr>
      </w:pPr>
      <w:bookmarkStart w:id="6" w:name="_Toc120902099"/>
    </w:p>
    <w:p w14:paraId="05573531" w14:textId="3BE3A0C4" w:rsidR="00F00935" w:rsidRDefault="00F00935" w:rsidP="00442C37">
      <w:pPr>
        <w:pStyle w:val="Heading4"/>
        <w:numPr>
          <w:ilvl w:val="0"/>
          <w:numId w:val="0"/>
        </w:numPr>
        <w:jc w:val="center"/>
        <w:rPr>
          <w:rFonts w:ascii="Times New Roman" w:hAnsi="Times New Roman" w:cs="Times New Roman"/>
          <w:i w:val="0"/>
          <w:iCs w:val="0"/>
          <w:color w:val="000000" w:themeColor="text1"/>
        </w:rPr>
      </w:pPr>
      <w:r w:rsidRPr="00F00935">
        <w:rPr>
          <w:rFonts w:ascii="Times New Roman" w:hAnsi="Times New Roman" w:cs="Times New Roman"/>
          <w:b/>
          <w:bCs/>
          <w:i w:val="0"/>
          <w:iCs w:val="0"/>
          <w:color w:val="000000" w:themeColor="text1"/>
        </w:rPr>
        <w:t xml:space="preserve">Table 3.2. </w:t>
      </w:r>
      <w:r w:rsidRPr="00F00935">
        <w:rPr>
          <w:rFonts w:ascii="Times New Roman" w:hAnsi="Times New Roman" w:cs="Times New Roman"/>
          <w:i w:val="0"/>
          <w:iCs w:val="0"/>
          <w:color w:val="000000" w:themeColor="text1"/>
        </w:rPr>
        <w:t>Wild and Game-farm Mallard Feeding Efficiency Model ANOVA by Source and Sex, Accounting for Date, Food Type, and Study Group (Category).</w:t>
      </w:r>
      <w:bookmarkEnd w:id="6"/>
    </w:p>
    <w:p w14:paraId="60C8D4BF" w14:textId="77777777" w:rsidR="00F00935" w:rsidRPr="00F00935" w:rsidRDefault="00F00935" w:rsidP="00F00935">
      <w:pPr>
        <w:pStyle w:val="Heading4"/>
        <w:numPr>
          <w:ilvl w:val="0"/>
          <w:numId w:val="0"/>
        </w:numPr>
        <w:jc w:val="center"/>
        <w:rPr>
          <w:rFonts w:ascii="Times New Roman" w:hAnsi="Times New Roman" w:cs="Times New Roman"/>
          <w:i w:val="0"/>
          <w:iCs w:val="0"/>
          <w:color w:val="000000" w:themeColor="text1"/>
        </w:rPr>
      </w:pPr>
    </w:p>
    <w:tbl>
      <w:tblPr>
        <w:tblStyle w:val="PlainTable5"/>
        <w:tblW w:w="8635" w:type="dxa"/>
        <w:tblLook w:val="04A0" w:firstRow="1" w:lastRow="0" w:firstColumn="1" w:lastColumn="0" w:noHBand="0" w:noVBand="1"/>
      </w:tblPr>
      <w:tblGrid>
        <w:gridCol w:w="2633"/>
        <w:gridCol w:w="650"/>
        <w:gridCol w:w="1187"/>
        <w:gridCol w:w="1352"/>
        <w:gridCol w:w="1423"/>
        <w:gridCol w:w="1390"/>
      </w:tblGrid>
      <w:tr w:rsidR="00F00935" w:rsidRPr="00F00935" w14:paraId="025C19B2" w14:textId="77777777" w:rsidTr="001A19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33" w:type="dxa"/>
          </w:tcPr>
          <w:p w14:paraId="7DA04801" w14:textId="77777777" w:rsidR="00F00935" w:rsidRPr="00F00935" w:rsidRDefault="00F00935" w:rsidP="001A1948">
            <w:pPr>
              <w:jc w:val="left"/>
              <w:rPr>
                <w:i w:val="0"/>
                <w:iCs w:val="0"/>
                <w:sz w:val="24"/>
              </w:rPr>
            </w:pPr>
            <w:r w:rsidRPr="00F00935">
              <w:rPr>
                <w:sz w:val="24"/>
              </w:rPr>
              <w:t>Predictor</w:t>
            </w:r>
          </w:p>
        </w:tc>
        <w:tc>
          <w:tcPr>
            <w:tcW w:w="650" w:type="dxa"/>
          </w:tcPr>
          <w:p w14:paraId="08F738D7"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i w:val="0"/>
                <w:iCs w:val="0"/>
                <w:sz w:val="24"/>
              </w:rPr>
            </w:pPr>
            <w:r w:rsidRPr="00F00935">
              <w:rPr>
                <w:sz w:val="24"/>
              </w:rPr>
              <w:t>DF</w:t>
            </w:r>
          </w:p>
        </w:tc>
        <w:tc>
          <w:tcPr>
            <w:tcW w:w="1187" w:type="dxa"/>
          </w:tcPr>
          <w:p w14:paraId="0F4C47EE"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i w:val="0"/>
                <w:iCs w:val="0"/>
                <w:sz w:val="24"/>
              </w:rPr>
            </w:pPr>
            <w:r w:rsidRPr="00F00935">
              <w:rPr>
                <w:sz w:val="24"/>
              </w:rPr>
              <w:t>Sum SQ.</w:t>
            </w:r>
          </w:p>
        </w:tc>
        <w:tc>
          <w:tcPr>
            <w:tcW w:w="1352" w:type="dxa"/>
          </w:tcPr>
          <w:p w14:paraId="7C70354C"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i w:val="0"/>
                <w:iCs w:val="0"/>
                <w:sz w:val="24"/>
              </w:rPr>
            </w:pPr>
            <w:r w:rsidRPr="00F00935">
              <w:rPr>
                <w:sz w:val="24"/>
              </w:rPr>
              <w:t>Mean SQ.</w:t>
            </w:r>
          </w:p>
        </w:tc>
        <w:tc>
          <w:tcPr>
            <w:tcW w:w="1423" w:type="dxa"/>
          </w:tcPr>
          <w:p w14:paraId="77B99B84"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i w:val="0"/>
                <w:iCs w:val="0"/>
                <w:sz w:val="24"/>
              </w:rPr>
            </w:pPr>
            <w:r w:rsidRPr="00F00935">
              <w:rPr>
                <w:sz w:val="24"/>
              </w:rPr>
              <w:t>F-value</w:t>
            </w:r>
          </w:p>
        </w:tc>
        <w:tc>
          <w:tcPr>
            <w:tcW w:w="1390" w:type="dxa"/>
          </w:tcPr>
          <w:p w14:paraId="26902159"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i w:val="0"/>
                <w:iCs w:val="0"/>
                <w:sz w:val="24"/>
              </w:rPr>
            </w:pPr>
            <w:proofErr w:type="spellStart"/>
            <w:r w:rsidRPr="00F00935">
              <w:rPr>
                <w:sz w:val="24"/>
              </w:rPr>
              <w:t>Pr</w:t>
            </w:r>
            <w:proofErr w:type="spellEnd"/>
            <w:r w:rsidRPr="00F00935">
              <w:rPr>
                <w:sz w:val="24"/>
              </w:rPr>
              <w:t>(&gt;F)</w:t>
            </w:r>
          </w:p>
        </w:tc>
      </w:tr>
      <w:tr w:rsidR="00F00935" w:rsidRPr="00F00935" w:rsidDel="00BD64CA" w14:paraId="56671C4A" w14:textId="77777777" w:rsidTr="001A1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dxa"/>
          </w:tcPr>
          <w:p w14:paraId="22526448" w14:textId="77777777" w:rsidR="00F00935" w:rsidRPr="00F00935" w:rsidDel="00BD64CA" w:rsidRDefault="00F00935" w:rsidP="001A1948">
            <w:pPr>
              <w:jc w:val="left"/>
              <w:rPr>
                <w:i w:val="0"/>
                <w:iCs w:val="0"/>
                <w:sz w:val="24"/>
              </w:rPr>
            </w:pPr>
            <w:r w:rsidRPr="00F00935">
              <w:rPr>
                <w:sz w:val="24"/>
              </w:rPr>
              <w:t>Source</w:t>
            </w:r>
          </w:p>
        </w:tc>
        <w:tc>
          <w:tcPr>
            <w:tcW w:w="650" w:type="dxa"/>
          </w:tcPr>
          <w:p w14:paraId="4DDDF4DA"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1</w:t>
            </w:r>
          </w:p>
        </w:tc>
        <w:tc>
          <w:tcPr>
            <w:tcW w:w="1187" w:type="dxa"/>
          </w:tcPr>
          <w:p w14:paraId="57071FBE"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1.63</w:t>
            </w:r>
          </w:p>
        </w:tc>
        <w:tc>
          <w:tcPr>
            <w:tcW w:w="1352" w:type="dxa"/>
          </w:tcPr>
          <w:p w14:paraId="47599FFA"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1.63</w:t>
            </w:r>
          </w:p>
        </w:tc>
        <w:tc>
          <w:tcPr>
            <w:tcW w:w="1423" w:type="dxa"/>
          </w:tcPr>
          <w:p w14:paraId="545B1F7F"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39.29</w:t>
            </w:r>
          </w:p>
        </w:tc>
        <w:tc>
          <w:tcPr>
            <w:tcW w:w="1390" w:type="dxa"/>
          </w:tcPr>
          <w:p w14:paraId="46D437A2"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&lt; 0.001</w:t>
            </w:r>
          </w:p>
        </w:tc>
      </w:tr>
      <w:tr w:rsidR="00F00935" w:rsidRPr="00F00935" w:rsidDel="00BD64CA" w14:paraId="4BEE794F" w14:textId="77777777" w:rsidTr="001A1948">
        <w:tc>
          <w:tcPr>
            <w:cnfStyle w:val="001000000000" w:firstRow="0" w:lastRow="0" w:firstColumn="1" w:lastColumn="0" w:oddVBand="0" w:evenVBand="0" w:oddHBand="0" w:evenHBand="0" w:firstRowFirstColumn="0" w:firstRowLastColumn="0" w:lastRowFirstColumn="0" w:lastRowLastColumn="0"/>
            <w:tcW w:w="2633" w:type="dxa"/>
          </w:tcPr>
          <w:p w14:paraId="4CB525F0" w14:textId="77777777" w:rsidR="00F00935" w:rsidRPr="00F00935" w:rsidDel="00BD64CA" w:rsidRDefault="00F00935" w:rsidP="001A1948">
            <w:pPr>
              <w:jc w:val="left"/>
              <w:rPr>
                <w:i w:val="0"/>
                <w:iCs w:val="0"/>
                <w:sz w:val="24"/>
              </w:rPr>
            </w:pPr>
            <w:r w:rsidRPr="00F00935">
              <w:rPr>
                <w:sz w:val="24"/>
              </w:rPr>
              <w:t>Category</w:t>
            </w:r>
          </w:p>
        </w:tc>
        <w:tc>
          <w:tcPr>
            <w:tcW w:w="650" w:type="dxa"/>
          </w:tcPr>
          <w:p w14:paraId="5C7D46F8"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1</w:t>
            </w:r>
          </w:p>
        </w:tc>
        <w:tc>
          <w:tcPr>
            <w:tcW w:w="1187" w:type="dxa"/>
          </w:tcPr>
          <w:p w14:paraId="4D188FAE"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0.46</w:t>
            </w:r>
          </w:p>
        </w:tc>
        <w:tc>
          <w:tcPr>
            <w:tcW w:w="1352" w:type="dxa"/>
          </w:tcPr>
          <w:p w14:paraId="424CDC27"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0.46</w:t>
            </w:r>
          </w:p>
        </w:tc>
        <w:tc>
          <w:tcPr>
            <w:tcW w:w="1423" w:type="dxa"/>
          </w:tcPr>
          <w:p w14:paraId="19A6AB1F"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11.14</w:t>
            </w:r>
          </w:p>
        </w:tc>
        <w:tc>
          <w:tcPr>
            <w:tcW w:w="1390" w:type="dxa"/>
          </w:tcPr>
          <w:p w14:paraId="29FF8DC5"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&lt; 0.001</w:t>
            </w:r>
          </w:p>
        </w:tc>
      </w:tr>
      <w:tr w:rsidR="00F00935" w:rsidRPr="00F00935" w:rsidDel="00BD64CA" w14:paraId="632172DA" w14:textId="77777777" w:rsidTr="001A1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dxa"/>
          </w:tcPr>
          <w:p w14:paraId="16B0B520" w14:textId="77777777" w:rsidR="00F00935" w:rsidRPr="00F00935" w:rsidDel="00BD64CA" w:rsidRDefault="00F00935" w:rsidP="001A1948">
            <w:pPr>
              <w:jc w:val="left"/>
              <w:rPr>
                <w:i w:val="0"/>
                <w:iCs w:val="0"/>
                <w:sz w:val="24"/>
              </w:rPr>
            </w:pPr>
            <w:r w:rsidRPr="00F00935">
              <w:rPr>
                <w:sz w:val="24"/>
              </w:rPr>
              <w:t>Sex</w:t>
            </w:r>
          </w:p>
        </w:tc>
        <w:tc>
          <w:tcPr>
            <w:tcW w:w="650" w:type="dxa"/>
          </w:tcPr>
          <w:p w14:paraId="142155E8"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1</w:t>
            </w:r>
          </w:p>
        </w:tc>
        <w:tc>
          <w:tcPr>
            <w:tcW w:w="1187" w:type="dxa"/>
          </w:tcPr>
          <w:p w14:paraId="5DE9717B"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0.44</w:t>
            </w:r>
          </w:p>
        </w:tc>
        <w:tc>
          <w:tcPr>
            <w:tcW w:w="1352" w:type="dxa"/>
          </w:tcPr>
          <w:p w14:paraId="5FB37178"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0.44</w:t>
            </w:r>
          </w:p>
        </w:tc>
        <w:tc>
          <w:tcPr>
            <w:tcW w:w="1423" w:type="dxa"/>
          </w:tcPr>
          <w:p w14:paraId="0214F71E"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11.14</w:t>
            </w:r>
          </w:p>
        </w:tc>
        <w:tc>
          <w:tcPr>
            <w:tcW w:w="1390" w:type="dxa"/>
          </w:tcPr>
          <w:p w14:paraId="7958EA4D"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0.001</w:t>
            </w:r>
          </w:p>
        </w:tc>
      </w:tr>
      <w:tr w:rsidR="00F00935" w:rsidRPr="00F00935" w:rsidDel="00BD64CA" w14:paraId="20A2AF82" w14:textId="77777777" w:rsidTr="001A1948">
        <w:tc>
          <w:tcPr>
            <w:cnfStyle w:val="001000000000" w:firstRow="0" w:lastRow="0" w:firstColumn="1" w:lastColumn="0" w:oddVBand="0" w:evenVBand="0" w:oddHBand="0" w:evenHBand="0" w:firstRowFirstColumn="0" w:firstRowLastColumn="0" w:lastRowFirstColumn="0" w:lastRowLastColumn="0"/>
            <w:tcW w:w="2633" w:type="dxa"/>
          </w:tcPr>
          <w:p w14:paraId="153FEEBD" w14:textId="77777777" w:rsidR="00F00935" w:rsidRPr="00F00935" w:rsidDel="00BD64CA" w:rsidRDefault="00F00935" w:rsidP="001A1948">
            <w:pPr>
              <w:jc w:val="left"/>
              <w:rPr>
                <w:i w:val="0"/>
                <w:iCs w:val="0"/>
                <w:sz w:val="24"/>
              </w:rPr>
            </w:pPr>
            <w:r w:rsidRPr="00F00935">
              <w:rPr>
                <w:sz w:val="24"/>
              </w:rPr>
              <w:t>Julian Date</w:t>
            </w:r>
          </w:p>
        </w:tc>
        <w:tc>
          <w:tcPr>
            <w:tcW w:w="650" w:type="dxa"/>
          </w:tcPr>
          <w:p w14:paraId="50B67E75"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1</w:t>
            </w:r>
          </w:p>
        </w:tc>
        <w:tc>
          <w:tcPr>
            <w:tcW w:w="1187" w:type="dxa"/>
          </w:tcPr>
          <w:p w14:paraId="041E3862"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0.369</w:t>
            </w:r>
          </w:p>
        </w:tc>
        <w:tc>
          <w:tcPr>
            <w:tcW w:w="1352" w:type="dxa"/>
          </w:tcPr>
          <w:p w14:paraId="1665ADF8"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0.76</w:t>
            </w:r>
          </w:p>
        </w:tc>
        <w:tc>
          <w:tcPr>
            <w:tcW w:w="1423" w:type="dxa"/>
          </w:tcPr>
          <w:p w14:paraId="55CFB692"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18.42</w:t>
            </w:r>
          </w:p>
        </w:tc>
        <w:tc>
          <w:tcPr>
            <w:tcW w:w="1390" w:type="dxa"/>
          </w:tcPr>
          <w:p w14:paraId="1C9BD0B7" w14:textId="77777777" w:rsidR="00F00935" w:rsidRPr="00F00935" w:rsidDel="00BD64CA" w:rsidRDefault="00F00935" w:rsidP="001A1948">
            <w:pPr>
              <w:cnfStyle w:val="000000000000" w:firstRow="0" w:lastRow="0" w:firstColumn="0" w:lastColumn="0" w:oddVBand="0" w:evenVBand="0" w:oddHBand="0" w:evenHBand="0" w:firstRowFirstColumn="0" w:firstRowLastColumn="0" w:lastRowFirstColumn="0" w:lastRowLastColumn="0"/>
            </w:pPr>
            <w:r w:rsidRPr="00F00935">
              <w:t>&lt; 0.001</w:t>
            </w:r>
          </w:p>
        </w:tc>
      </w:tr>
      <w:tr w:rsidR="00F00935" w:rsidRPr="00F00935" w:rsidDel="00BD64CA" w14:paraId="34297442" w14:textId="77777777" w:rsidTr="001A1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dxa"/>
          </w:tcPr>
          <w:p w14:paraId="1C33DC74" w14:textId="77777777" w:rsidR="00F00935" w:rsidRPr="00F00935" w:rsidDel="00BD64CA" w:rsidRDefault="00F00935" w:rsidP="001A1948">
            <w:pPr>
              <w:jc w:val="left"/>
              <w:rPr>
                <w:i w:val="0"/>
                <w:iCs w:val="0"/>
                <w:sz w:val="24"/>
              </w:rPr>
            </w:pPr>
            <w:r w:rsidRPr="00F00935">
              <w:rPr>
                <w:sz w:val="24"/>
              </w:rPr>
              <w:t>Food</w:t>
            </w:r>
          </w:p>
        </w:tc>
        <w:tc>
          <w:tcPr>
            <w:tcW w:w="650" w:type="dxa"/>
          </w:tcPr>
          <w:p w14:paraId="0C9D19E6"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3</w:t>
            </w:r>
          </w:p>
        </w:tc>
        <w:tc>
          <w:tcPr>
            <w:tcW w:w="1187" w:type="dxa"/>
          </w:tcPr>
          <w:p w14:paraId="01F7322C"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0.229</w:t>
            </w:r>
          </w:p>
        </w:tc>
        <w:tc>
          <w:tcPr>
            <w:tcW w:w="1352" w:type="dxa"/>
          </w:tcPr>
          <w:p w14:paraId="034C7C82"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0.08</w:t>
            </w:r>
          </w:p>
        </w:tc>
        <w:tc>
          <w:tcPr>
            <w:tcW w:w="1423" w:type="dxa"/>
          </w:tcPr>
          <w:p w14:paraId="28513563"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1.85</w:t>
            </w:r>
          </w:p>
        </w:tc>
        <w:tc>
          <w:tcPr>
            <w:tcW w:w="1390" w:type="dxa"/>
          </w:tcPr>
          <w:p w14:paraId="4E79DD3E" w14:textId="77777777" w:rsidR="00F00935" w:rsidRPr="00F00935" w:rsidDel="00BD64CA" w:rsidRDefault="00F00935" w:rsidP="001A1948">
            <w:pPr>
              <w:cnfStyle w:val="000000100000" w:firstRow="0" w:lastRow="0" w:firstColumn="0" w:lastColumn="0" w:oddVBand="0" w:evenVBand="0" w:oddHBand="1" w:evenHBand="0" w:firstRowFirstColumn="0" w:firstRowLastColumn="0" w:lastRowFirstColumn="0" w:lastRowLastColumn="0"/>
            </w:pPr>
            <w:r w:rsidRPr="00F00935">
              <w:t>0.140</w:t>
            </w:r>
          </w:p>
        </w:tc>
      </w:tr>
    </w:tbl>
    <w:p w14:paraId="355DCE8F" w14:textId="77777777" w:rsidR="00F00935" w:rsidRPr="00F00935" w:rsidRDefault="00F00935" w:rsidP="00F00935"/>
    <w:p w14:paraId="6ACA21D5" w14:textId="77777777" w:rsidR="00F00935" w:rsidRPr="00F00935" w:rsidRDefault="00F00935" w:rsidP="00F00935"/>
    <w:p w14:paraId="0AFC8B80" w14:textId="139695F5" w:rsidR="00F00935" w:rsidRDefault="00F00935" w:rsidP="00F00935">
      <w:pPr>
        <w:pStyle w:val="Heading4"/>
        <w:numPr>
          <w:ilvl w:val="0"/>
          <w:numId w:val="0"/>
        </w:numPr>
        <w:jc w:val="center"/>
        <w:rPr>
          <w:rFonts w:ascii="Times New Roman" w:hAnsi="Times New Roman" w:cs="Times New Roman"/>
          <w:i w:val="0"/>
          <w:iCs w:val="0"/>
          <w:color w:val="000000" w:themeColor="text1"/>
        </w:rPr>
      </w:pPr>
      <w:bookmarkStart w:id="7" w:name="_Toc120902100"/>
      <w:r w:rsidRPr="00F00935">
        <w:rPr>
          <w:rFonts w:ascii="Times New Roman" w:hAnsi="Times New Roman" w:cs="Times New Roman"/>
          <w:b/>
          <w:bCs/>
          <w:i w:val="0"/>
          <w:iCs w:val="0"/>
          <w:color w:val="000000" w:themeColor="text1"/>
        </w:rPr>
        <w:t xml:space="preserve">Table 3.3. </w:t>
      </w:r>
      <w:r w:rsidRPr="00F00935">
        <w:rPr>
          <w:rFonts w:ascii="Times New Roman" w:hAnsi="Times New Roman" w:cs="Times New Roman"/>
          <w:i w:val="0"/>
          <w:iCs w:val="0"/>
          <w:color w:val="000000" w:themeColor="text1"/>
        </w:rPr>
        <w:t>Wild and Game-farm Mallard Feeding Efficiency Mixed-Regression Model by Source and Sex, Accounting for Date, Food Type, Study Group (Category), and Bird ID.</w:t>
      </w:r>
      <w:bookmarkEnd w:id="7"/>
    </w:p>
    <w:p w14:paraId="13038111" w14:textId="77777777" w:rsidR="00F00935" w:rsidRPr="00F00935" w:rsidRDefault="00F00935" w:rsidP="00F00935">
      <w:pPr>
        <w:pStyle w:val="Heading4"/>
        <w:numPr>
          <w:ilvl w:val="0"/>
          <w:numId w:val="0"/>
        </w:numPr>
        <w:jc w:val="center"/>
        <w:rPr>
          <w:rFonts w:ascii="Times New Roman" w:hAnsi="Times New Roman" w:cs="Times New Roman"/>
          <w:i w:val="0"/>
          <w:iCs w:val="0"/>
          <w:color w:val="000000" w:themeColor="text1"/>
        </w:rPr>
      </w:pPr>
    </w:p>
    <w:tbl>
      <w:tblPr>
        <w:tblStyle w:val="PlainTable5"/>
        <w:tblW w:w="4994" w:type="pct"/>
        <w:jc w:val="center"/>
        <w:tblLook w:val="04A0" w:firstRow="1" w:lastRow="0" w:firstColumn="1" w:lastColumn="0" w:noHBand="0" w:noVBand="1"/>
      </w:tblPr>
      <w:tblGrid>
        <w:gridCol w:w="1869"/>
        <w:gridCol w:w="1870"/>
        <w:gridCol w:w="1870"/>
        <w:gridCol w:w="1870"/>
        <w:gridCol w:w="1870"/>
      </w:tblGrid>
      <w:tr w:rsidR="00F00935" w:rsidRPr="00F00935" w14:paraId="6C505BDE" w14:textId="77777777" w:rsidTr="001A194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00" w:type="pct"/>
          </w:tcPr>
          <w:p w14:paraId="1580548A" w14:textId="77777777" w:rsidR="00F00935" w:rsidRPr="00F00935" w:rsidRDefault="00F00935" w:rsidP="001A1948">
            <w:pPr>
              <w:jc w:val="left"/>
              <w:rPr>
                <w:sz w:val="24"/>
              </w:rPr>
            </w:pPr>
            <w:r w:rsidRPr="00F00935">
              <w:rPr>
                <w:sz w:val="24"/>
              </w:rPr>
              <w:t>Predictor</w:t>
            </w:r>
          </w:p>
        </w:tc>
        <w:tc>
          <w:tcPr>
            <w:tcW w:w="1000" w:type="pct"/>
          </w:tcPr>
          <w:p w14:paraId="7737FDF5"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sz w:val="24"/>
              </w:rPr>
            </w:pPr>
            <w:r w:rsidRPr="00F00935">
              <w:rPr>
                <w:sz w:val="24"/>
              </w:rPr>
              <w:t>Parameter Estimate</w:t>
            </w:r>
          </w:p>
        </w:tc>
        <w:tc>
          <w:tcPr>
            <w:tcW w:w="1000" w:type="pct"/>
          </w:tcPr>
          <w:p w14:paraId="3A169950"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sz w:val="24"/>
              </w:rPr>
            </w:pPr>
            <w:r w:rsidRPr="00F00935">
              <w:rPr>
                <w:sz w:val="24"/>
              </w:rPr>
              <w:t>Standard Error</w:t>
            </w:r>
          </w:p>
        </w:tc>
        <w:tc>
          <w:tcPr>
            <w:tcW w:w="1000" w:type="pct"/>
          </w:tcPr>
          <w:p w14:paraId="10046EE7"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sz w:val="24"/>
              </w:rPr>
            </w:pPr>
            <w:r w:rsidRPr="00F00935">
              <w:rPr>
                <w:sz w:val="24"/>
              </w:rPr>
              <w:t>Student -T Value</w:t>
            </w:r>
          </w:p>
        </w:tc>
        <w:tc>
          <w:tcPr>
            <w:tcW w:w="1000" w:type="pct"/>
          </w:tcPr>
          <w:p w14:paraId="151F496B" w14:textId="77777777" w:rsidR="00F00935" w:rsidRPr="00F00935" w:rsidRDefault="00F00935" w:rsidP="001A1948">
            <w:pPr>
              <w:cnfStyle w:val="100000000000" w:firstRow="1" w:lastRow="0" w:firstColumn="0" w:lastColumn="0" w:oddVBand="0" w:evenVBand="0" w:oddHBand="0" w:evenHBand="0" w:firstRowFirstColumn="0" w:firstRowLastColumn="0" w:lastRowFirstColumn="0" w:lastRowLastColumn="0"/>
              <w:rPr>
                <w:sz w:val="24"/>
              </w:rPr>
            </w:pPr>
            <w:proofErr w:type="spellStart"/>
            <w:r w:rsidRPr="00F00935">
              <w:rPr>
                <w:sz w:val="24"/>
              </w:rPr>
              <w:t>Pr</w:t>
            </w:r>
            <w:proofErr w:type="spellEnd"/>
            <w:r w:rsidRPr="00F00935">
              <w:rPr>
                <w:sz w:val="24"/>
              </w:rPr>
              <w:t>(&gt;|t|)</w:t>
            </w:r>
          </w:p>
        </w:tc>
      </w:tr>
      <w:tr w:rsidR="00F00935" w:rsidRPr="00F00935" w14:paraId="06B0709E"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61E15739" w14:textId="77777777" w:rsidR="00F00935" w:rsidRPr="00F00935" w:rsidRDefault="00F00935" w:rsidP="001A1948">
            <w:pPr>
              <w:jc w:val="left"/>
              <w:rPr>
                <w:sz w:val="24"/>
              </w:rPr>
            </w:pPr>
            <w:r w:rsidRPr="00F00935">
              <w:rPr>
                <w:sz w:val="24"/>
              </w:rPr>
              <w:t>(Intercept [Wild])</w:t>
            </w:r>
          </w:p>
        </w:tc>
        <w:tc>
          <w:tcPr>
            <w:tcW w:w="1000" w:type="pct"/>
          </w:tcPr>
          <w:p w14:paraId="1CDBFE0D"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0.13</w:t>
            </w:r>
          </w:p>
        </w:tc>
        <w:tc>
          <w:tcPr>
            <w:tcW w:w="1000" w:type="pct"/>
          </w:tcPr>
          <w:p w14:paraId="3EADF21E"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0.05</w:t>
            </w:r>
          </w:p>
        </w:tc>
        <w:tc>
          <w:tcPr>
            <w:tcW w:w="1000" w:type="pct"/>
          </w:tcPr>
          <w:p w14:paraId="322E47FC"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2.6</w:t>
            </w:r>
          </w:p>
        </w:tc>
        <w:tc>
          <w:tcPr>
            <w:tcW w:w="1000" w:type="pct"/>
          </w:tcPr>
          <w:p w14:paraId="348C5548"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0.01</w:t>
            </w:r>
          </w:p>
        </w:tc>
      </w:tr>
      <w:tr w:rsidR="00F00935" w:rsidRPr="00F00935" w14:paraId="5184B7FD"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000" w:type="pct"/>
          </w:tcPr>
          <w:p w14:paraId="39DD1F7C" w14:textId="77777777" w:rsidR="00F00935" w:rsidRPr="00F00935" w:rsidRDefault="00F00935" w:rsidP="001A1948">
            <w:pPr>
              <w:jc w:val="left"/>
              <w:rPr>
                <w:sz w:val="24"/>
              </w:rPr>
            </w:pPr>
            <w:r w:rsidRPr="00F00935">
              <w:rPr>
                <w:sz w:val="24"/>
              </w:rPr>
              <w:t>Source (Game farm)</w:t>
            </w:r>
          </w:p>
        </w:tc>
        <w:tc>
          <w:tcPr>
            <w:tcW w:w="1000" w:type="pct"/>
          </w:tcPr>
          <w:p w14:paraId="730DB9D3"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-0.095</w:t>
            </w:r>
          </w:p>
          <w:p w14:paraId="709ED56D"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p>
          <w:p w14:paraId="186EA784"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p>
        </w:tc>
        <w:tc>
          <w:tcPr>
            <w:tcW w:w="1000" w:type="pct"/>
          </w:tcPr>
          <w:p w14:paraId="681D429A"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0.02</w:t>
            </w:r>
          </w:p>
        </w:tc>
        <w:tc>
          <w:tcPr>
            <w:tcW w:w="1000" w:type="pct"/>
          </w:tcPr>
          <w:p w14:paraId="4590EB02"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-4.3</w:t>
            </w:r>
          </w:p>
        </w:tc>
        <w:tc>
          <w:tcPr>
            <w:tcW w:w="1000" w:type="pct"/>
          </w:tcPr>
          <w:p w14:paraId="63947621"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&lt; 0.001</w:t>
            </w:r>
          </w:p>
        </w:tc>
      </w:tr>
      <w:tr w:rsidR="00F00935" w:rsidRPr="00F00935" w14:paraId="7BD81B5C"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6B93433E" w14:textId="77777777" w:rsidR="00F00935" w:rsidRPr="00F00935" w:rsidRDefault="00F00935" w:rsidP="001A1948">
            <w:pPr>
              <w:jc w:val="left"/>
              <w:rPr>
                <w:sz w:val="24"/>
              </w:rPr>
            </w:pPr>
            <w:r w:rsidRPr="00F00935">
              <w:rPr>
                <w:sz w:val="24"/>
              </w:rPr>
              <w:t>Category (Pinola)</w:t>
            </w:r>
          </w:p>
        </w:tc>
        <w:tc>
          <w:tcPr>
            <w:tcW w:w="1000" w:type="pct"/>
          </w:tcPr>
          <w:p w14:paraId="0B8795AA"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0.205</w:t>
            </w:r>
          </w:p>
        </w:tc>
        <w:tc>
          <w:tcPr>
            <w:tcW w:w="1000" w:type="pct"/>
          </w:tcPr>
          <w:p w14:paraId="6B856336"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0.055</w:t>
            </w:r>
          </w:p>
        </w:tc>
        <w:tc>
          <w:tcPr>
            <w:tcW w:w="1000" w:type="pct"/>
          </w:tcPr>
          <w:p w14:paraId="773C0141"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4.3</w:t>
            </w:r>
          </w:p>
        </w:tc>
        <w:tc>
          <w:tcPr>
            <w:tcW w:w="1000" w:type="pct"/>
          </w:tcPr>
          <w:p w14:paraId="54091785"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&lt; 0.001</w:t>
            </w:r>
          </w:p>
        </w:tc>
      </w:tr>
      <w:tr w:rsidR="00F00935" w:rsidRPr="00F00935" w14:paraId="111A95D4"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000" w:type="pct"/>
          </w:tcPr>
          <w:p w14:paraId="2C9E94A8" w14:textId="77777777" w:rsidR="00F00935" w:rsidRPr="00F00935" w:rsidRDefault="00F00935" w:rsidP="001A1948">
            <w:pPr>
              <w:jc w:val="left"/>
              <w:rPr>
                <w:sz w:val="24"/>
              </w:rPr>
            </w:pPr>
            <w:r w:rsidRPr="00F00935">
              <w:rPr>
                <w:sz w:val="24"/>
              </w:rPr>
              <w:t>Sex (Female)</w:t>
            </w:r>
          </w:p>
        </w:tc>
        <w:tc>
          <w:tcPr>
            <w:tcW w:w="1000" w:type="pct"/>
          </w:tcPr>
          <w:p w14:paraId="5AB9AACD"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-0.059</w:t>
            </w:r>
          </w:p>
        </w:tc>
        <w:tc>
          <w:tcPr>
            <w:tcW w:w="1000" w:type="pct"/>
          </w:tcPr>
          <w:p w14:paraId="1FDA560A"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0.018</w:t>
            </w:r>
          </w:p>
        </w:tc>
        <w:tc>
          <w:tcPr>
            <w:tcW w:w="1000" w:type="pct"/>
          </w:tcPr>
          <w:p w14:paraId="16236FC3"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-3.3</w:t>
            </w:r>
          </w:p>
        </w:tc>
        <w:tc>
          <w:tcPr>
            <w:tcW w:w="1000" w:type="pct"/>
          </w:tcPr>
          <w:p w14:paraId="6883532B"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0.001</w:t>
            </w:r>
          </w:p>
        </w:tc>
      </w:tr>
      <w:tr w:rsidR="00F00935" w:rsidRPr="00F00935" w14:paraId="41F85EAC"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43F2AD7F" w14:textId="77777777" w:rsidR="00F00935" w:rsidRPr="00F00935" w:rsidRDefault="00F00935" w:rsidP="001A1948">
            <w:pPr>
              <w:jc w:val="left"/>
              <w:rPr>
                <w:sz w:val="24"/>
              </w:rPr>
            </w:pPr>
            <w:r w:rsidRPr="00F00935">
              <w:rPr>
                <w:sz w:val="24"/>
              </w:rPr>
              <w:t>Julian Date</w:t>
            </w:r>
          </w:p>
        </w:tc>
        <w:tc>
          <w:tcPr>
            <w:tcW w:w="1000" w:type="pct"/>
          </w:tcPr>
          <w:p w14:paraId="4FF6C5EA"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0.0006</w:t>
            </w:r>
          </w:p>
        </w:tc>
        <w:tc>
          <w:tcPr>
            <w:tcW w:w="1000" w:type="pct"/>
          </w:tcPr>
          <w:p w14:paraId="4913879C"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0.045</w:t>
            </w:r>
          </w:p>
        </w:tc>
        <w:tc>
          <w:tcPr>
            <w:tcW w:w="1000" w:type="pct"/>
          </w:tcPr>
          <w:p w14:paraId="0D465134"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4.3</w:t>
            </w:r>
          </w:p>
        </w:tc>
        <w:tc>
          <w:tcPr>
            <w:tcW w:w="1000" w:type="pct"/>
          </w:tcPr>
          <w:p w14:paraId="5DA5F016"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&lt; 0.001</w:t>
            </w:r>
          </w:p>
        </w:tc>
      </w:tr>
      <w:tr w:rsidR="00F00935" w:rsidRPr="00F00935" w14:paraId="770E28AF"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000" w:type="pct"/>
          </w:tcPr>
          <w:p w14:paraId="7054CECA" w14:textId="77777777" w:rsidR="00F00935" w:rsidRPr="00F00935" w:rsidRDefault="00F00935" w:rsidP="001A1948">
            <w:pPr>
              <w:jc w:val="left"/>
              <w:rPr>
                <w:sz w:val="24"/>
              </w:rPr>
            </w:pPr>
            <w:r w:rsidRPr="00F00935">
              <w:rPr>
                <w:sz w:val="24"/>
              </w:rPr>
              <w:t>Food (Lentils)</w:t>
            </w:r>
          </w:p>
        </w:tc>
        <w:tc>
          <w:tcPr>
            <w:tcW w:w="1000" w:type="pct"/>
          </w:tcPr>
          <w:p w14:paraId="008E0137"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-0.03</w:t>
            </w:r>
          </w:p>
        </w:tc>
        <w:tc>
          <w:tcPr>
            <w:tcW w:w="1000" w:type="pct"/>
          </w:tcPr>
          <w:p w14:paraId="62D148C3"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0.04</w:t>
            </w:r>
          </w:p>
        </w:tc>
        <w:tc>
          <w:tcPr>
            <w:tcW w:w="1000" w:type="pct"/>
          </w:tcPr>
          <w:p w14:paraId="11E13A02"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-0.7</w:t>
            </w:r>
          </w:p>
        </w:tc>
        <w:tc>
          <w:tcPr>
            <w:tcW w:w="1000" w:type="pct"/>
          </w:tcPr>
          <w:p w14:paraId="087B2384"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0.51</w:t>
            </w:r>
          </w:p>
        </w:tc>
      </w:tr>
      <w:tr w:rsidR="00F00935" w:rsidRPr="00F00935" w14:paraId="3318111D" w14:textId="77777777" w:rsidTr="001A1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753BC871" w14:textId="77777777" w:rsidR="00F00935" w:rsidRPr="00F00935" w:rsidRDefault="00F00935" w:rsidP="001A1948">
            <w:pPr>
              <w:jc w:val="left"/>
              <w:rPr>
                <w:sz w:val="24"/>
              </w:rPr>
            </w:pPr>
            <w:r w:rsidRPr="00F00935">
              <w:rPr>
                <w:sz w:val="24"/>
              </w:rPr>
              <w:t>Food (Amaranth)</w:t>
            </w:r>
          </w:p>
        </w:tc>
        <w:tc>
          <w:tcPr>
            <w:tcW w:w="1000" w:type="pct"/>
          </w:tcPr>
          <w:p w14:paraId="11859575"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-0.06</w:t>
            </w:r>
          </w:p>
        </w:tc>
        <w:tc>
          <w:tcPr>
            <w:tcW w:w="1000" w:type="pct"/>
          </w:tcPr>
          <w:p w14:paraId="4CC36D77"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0.03</w:t>
            </w:r>
          </w:p>
        </w:tc>
        <w:tc>
          <w:tcPr>
            <w:tcW w:w="1000" w:type="pct"/>
          </w:tcPr>
          <w:p w14:paraId="004B3E68"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-1.8</w:t>
            </w:r>
          </w:p>
        </w:tc>
        <w:tc>
          <w:tcPr>
            <w:tcW w:w="1000" w:type="pct"/>
          </w:tcPr>
          <w:p w14:paraId="61A5DCE4" w14:textId="77777777" w:rsidR="00F00935" w:rsidRPr="00F00935" w:rsidRDefault="00F00935" w:rsidP="001A1948">
            <w:pPr>
              <w:cnfStyle w:val="000000100000" w:firstRow="0" w:lastRow="0" w:firstColumn="0" w:lastColumn="0" w:oddVBand="0" w:evenVBand="0" w:oddHBand="1" w:evenHBand="0" w:firstRowFirstColumn="0" w:firstRowLastColumn="0" w:lastRowFirstColumn="0" w:lastRowLastColumn="0"/>
            </w:pPr>
            <w:r w:rsidRPr="00F00935">
              <w:t>0.07</w:t>
            </w:r>
          </w:p>
        </w:tc>
      </w:tr>
      <w:tr w:rsidR="00F00935" w:rsidRPr="00F00935" w14:paraId="6456A9DC" w14:textId="77777777" w:rsidTr="001A1948">
        <w:trPr>
          <w:jc w:val="center"/>
        </w:trPr>
        <w:tc>
          <w:tcPr>
            <w:cnfStyle w:val="001000000000" w:firstRow="0" w:lastRow="0" w:firstColumn="1" w:lastColumn="0" w:oddVBand="0" w:evenVBand="0" w:oddHBand="0" w:evenHBand="0" w:firstRowFirstColumn="0" w:firstRowLastColumn="0" w:lastRowFirstColumn="0" w:lastRowLastColumn="0"/>
            <w:tcW w:w="1000" w:type="pct"/>
          </w:tcPr>
          <w:p w14:paraId="3D55582E" w14:textId="77777777" w:rsidR="00F00935" w:rsidRPr="00F00935" w:rsidRDefault="00F00935" w:rsidP="001A1948">
            <w:pPr>
              <w:jc w:val="left"/>
              <w:rPr>
                <w:sz w:val="24"/>
              </w:rPr>
            </w:pPr>
            <w:r w:rsidRPr="00F00935">
              <w:rPr>
                <w:sz w:val="24"/>
              </w:rPr>
              <w:t>Food (Millet)</w:t>
            </w:r>
          </w:p>
        </w:tc>
        <w:tc>
          <w:tcPr>
            <w:tcW w:w="1000" w:type="pct"/>
          </w:tcPr>
          <w:p w14:paraId="0E24C3F7"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-0.02</w:t>
            </w:r>
          </w:p>
        </w:tc>
        <w:tc>
          <w:tcPr>
            <w:tcW w:w="1000" w:type="pct"/>
          </w:tcPr>
          <w:p w14:paraId="337E99BF"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0.03</w:t>
            </w:r>
          </w:p>
        </w:tc>
        <w:tc>
          <w:tcPr>
            <w:tcW w:w="1000" w:type="pct"/>
          </w:tcPr>
          <w:p w14:paraId="1ADD0503"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-0.7</w:t>
            </w:r>
          </w:p>
        </w:tc>
        <w:tc>
          <w:tcPr>
            <w:tcW w:w="1000" w:type="pct"/>
          </w:tcPr>
          <w:p w14:paraId="2C1608A7" w14:textId="77777777" w:rsidR="00F00935" w:rsidRPr="00F00935" w:rsidRDefault="00F00935" w:rsidP="001A1948">
            <w:pPr>
              <w:cnfStyle w:val="000000000000" w:firstRow="0" w:lastRow="0" w:firstColumn="0" w:lastColumn="0" w:oddVBand="0" w:evenVBand="0" w:oddHBand="0" w:evenHBand="0" w:firstRowFirstColumn="0" w:firstRowLastColumn="0" w:lastRowFirstColumn="0" w:lastRowLastColumn="0"/>
            </w:pPr>
            <w:r w:rsidRPr="00F00935">
              <w:t>0.50</w:t>
            </w:r>
          </w:p>
        </w:tc>
      </w:tr>
    </w:tbl>
    <w:p w14:paraId="602238E9" w14:textId="0B423449" w:rsidR="00F00935" w:rsidRDefault="00F00935" w:rsidP="00F00935"/>
    <w:p w14:paraId="7DEADDB7" w14:textId="77777777" w:rsidR="00B27ED8" w:rsidRDefault="00B27ED8" w:rsidP="00F00935">
      <w:pPr>
        <w:jc w:val="center"/>
      </w:pPr>
    </w:p>
    <w:p w14:paraId="1BEE28A0" w14:textId="036612C6" w:rsidR="00F00935" w:rsidRPr="00B51240" w:rsidRDefault="00F00935" w:rsidP="00F00935">
      <w:pPr>
        <w:jc w:val="center"/>
      </w:pPr>
      <w:r w:rsidRPr="009D2A0A">
        <w:rPr>
          <w:noProof/>
        </w:rPr>
        <w:lastRenderedPageBreak/>
        <w:drawing>
          <wp:inline distT="0" distB="0" distL="0" distR="0" wp14:anchorId="03E37886" wp14:editId="113158A6">
            <wp:extent cx="3870325" cy="2328530"/>
            <wp:effectExtent l="0" t="0" r="3175" b="0"/>
            <wp:docPr id="5" name="Picture 5" descr="Box and Whisker Plot Comparing Wild and Game-farm Mallard Feeding Efficiency Rate in Grams of Food per Second by Source and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ox and Whisker Plot Comparing Wild and Game-farm Mallard Feeding Efficiency Rate in Grams of Food per Second by Source and Sex."/>
                    <pic:cNvPicPr/>
                  </pic:nvPicPr>
                  <pic:blipFill rotWithShape="1">
                    <a:blip r:embed="rId6" cstate="print">
                      <a:extLst>
                        <a:ext uri="{28A0092B-C50C-407E-A947-70E740481C1C}">
                          <a14:useLocalDpi xmlns:a14="http://schemas.microsoft.com/office/drawing/2010/main" val="0"/>
                        </a:ext>
                      </a:extLst>
                    </a:blip>
                    <a:srcRect t="5912" b="-5912"/>
                    <a:stretch/>
                  </pic:blipFill>
                  <pic:spPr>
                    <a:xfrm>
                      <a:off x="0" y="0"/>
                      <a:ext cx="3955165" cy="2379573"/>
                    </a:xfrm>
                    <a:prstGeom prst="rect">
                      <a:avLst/>
                    </a:prstGeom>
                  </pic:spPr>
                </pic:pic>
              </a:graphicData>
            </a:graphic>
          </wp:inline>
        </w:drawing>
      </w:r>
    </w:p>
    <w:p w14:paraId="1A993DC5" w14:textId="77777777" w:rsidR="00F00935" w:rsidRPr="00092B5B" w:rsidRDefault="00F00935" w:rsidP="00F00935">
      <w:pPr>
        <w:pStyle w:val="Heading4"/>
        <w:numPr>
          <w:ilvl w:val="0"/>
          <w:numId w:val="0"/>
        </w:numPr>
        <w:jc w:val="center"/>
        <w:rPr>
          <w:rFonts w:ascii="Times New Roman" w:hAnsi="Times New Roman" w:cs="Times New Roman"/>
          <w:i w:val="0"/>
          <w:iCs w:val="0"/>
          <w:color w:val="000000" w:themeColor="text1"/>
        </w:rPr>
      </w:pPr>
      <w:bookmarkStart w:id="8" w:name="_Toc120902101"/>
      <w:r w:rsidRPr="009D2A0A">
        <w:rPr>
          <w:rFonts w:ascii="Times New Roman" w:hAnsi="Times New Roman" w:cs="Times New Roman"/>
          <w:b/>
          <w:bCs/>
          <w:i w:val="0"/>
          <w:iCs w:val="0"/>
          <w:color w:val="000000" w:themeColor="text1"/>
        </w:rPr>
        <w:t xml:space="preserve">Figure 3.1. </w:t>
      </w:r>
      <w:r w:rsidRPr="009D2A0A">
        <w:rPr>
          <w:rFonts w:ascii="Times New Roman" w:hAnsi="Times New Roman" w:cs="Times New Roman"/>
          <w:i w:val="0"/>
          <w:iCs w:val="0"/>
          <w:color w:val="000000" w:themeColor="text1"/>
        </w:rPr>
        <w:t xml:space="preserve">Box and Whisker Plot </w:t>
      </w:r>
      <w:r>
        <w:rPr>
          <w:rFonts w:ascii="Times New Roman" w:hAnsi="Times New Roman" w:cs="Times New Roman"/>
          <w:i w:val="0"/>
          <w:iCs w:val="0"/>
          <w:color w:val="000000" w:themeColor="text1"/>
        </w:rPr>
        <w:t>Comparing</w:t>
      </w:r>
      <w:r w:rsidRPr="009D2A0A">
        <w:rPr>
          <w:rFonts w:ascii="Times New Roman" w:hAnsi="Times New Roman" w:cs="Times New Roman"/>
          <w:b/>
          <w:bCs/>
          <w:i w:val="0"/>
          <w:iCs w:val="0"/>
          <w:color w:val="000000" w:themeColor="text1"/>
        </w:rPr>
        <w:t xml:space="preserve"> </w:t>
      </w:r>
      <w:r>
        <w:rPr>
          <w:rFonts w:ascii="Times New Roman" w:hAnsi="Times New Roman" w:cs="Times New Roman"/>
          <w:i w:val="0"/>
          <w:iCs w:val="0"/>
          <w:color w:val="000000" w:themeColor="text1"/>
        </w:rPr>
        <w:t>Wild and Game-farm Mallard F</w:t>
      </w:r>
      <w:r w:rsidRPr="009D2A0A">
        <w:rPr>
          <w:rFonts w:ascii="Times New Roman" w:hAnsi="Times New Roman" w:cs="Times New Roman"/>
          <w:i w:val="0"/>
          <w:iCs w:val="0"/>
          <w:color w:val="000000" w:themeColor="text1"/>
        </w:rPr>
        <w:t xml:space="preserve">eeding </w:t>
      </w:r>
      <w:r>
        <w:rPr>
          <w:rFonts w:ascii="Times New Roman" w:hAnsi="Times New Roman" w:cs="Times New Roman"/>
          <w:i w:val="0"/>
          <w:iCs w:val="0"/>
          <w:color w:val="000000" w:themeColor="text1"/>
        </w:rPr>
        <w:t>E</w:t>
      </w:r>
      <w:r w:rsidRPr="009D2A0A">
        <w:rPr>
          <w:rFonts w:ascii="Times New Roman" w:hAnsi="Times New Roman" w:cs="Times New Roman"/>
          <w:i w:val="0"/>
          <w:iCs w:val="0"/>
          <w:color w:val="000000" w:themeColor="text1"/>
        </w:rPr>
        <w:t>fficiency Rate</w:t>
      </w:r>
      <w:r>
        <w:rPr>
          <w:rFonts w:ascii="Times New Roman" w:hAnsi="Times New Roman" w:cs="Times New Roman"/>
          <w:i w:val="0"/>
          <w:iCs w:val="0"/>
          <w:color w:val="000000" w:themeColor="text1"/>
        </w:rPr>
        <w:t xml:space="preserve"> in Grams of Food per Second</w:t>
      </w:r>
      <w:r w:rsidRPr="009D2A0A">
        <w:rPr>
          <w:rFonts w:ascii="Times New Roman" w:hAnsi="Times New Roman" w:cs="Times New Roman"/>
          <w:i w:val="0"/>
          <w:iCs w:val="0"/>
          <w:color w:val="000000" w:themeColor="text1"/>
        </w:rPr>
        <w:t xml:space="preserve"> by Source and Sex.</w:t>
      </w:r>
      <w:bookmarkEnd w:id="8"/>
    </w:p>
    <w:p w14:paraId="65A0E781" w14:textId="2DB95CBB" w:rsidR="00F00935" w:rsidRDefault="00F00935" w:rsidP="00BA4B65"/>
    <w:p w14:paraId="3B274E52" w14:textId="1CF718EA" w:rsidR="00C05395" w:rsidRDefault="00B27ED8" w:rsidP="001D1952">
      <w:pPr>
        <w:rPr>
          <w:b/>
          <w:bCs/>
        </w:rPr>
      </w:pPr>
      <w:r>
        <w:rPr>
          <w:b/>
          <w:bCs/>
        </w:rPr>
        <w:t>CONCLUSIONS</w:t>
      </w:r>
    </w:p>
    <w:p w14:paraId="451B34E0" w14:textId="1F2EA3A2" w:rsidR="00C05395" w:rsidRDefault="00C05395" w:rsidP="001D1952">
      <w:pPr>
        <w:rPr>
          <w:b/>
          <w:bCs/>
        </w:rPr>
      </w:pPr>
    </w:p>
    <w:p w14:paraId="4E8382A1" w14:textId="04605832" w:rsidR="00B27ED8" w:rsidRDefault="00B27ED8" w:rsidP="001D1952">
      <w:pPr>
        <w:ind w:firstLine="810"/>
        <w:rPr>
          <w:color w:val="000000" w:themeColor="text1"/>
        </w:rPr>
      </w:pPr>
      <w:r w:rsidRPr="00B843C0">
        <w:t xml:space="preserve">This study revealed that mallards across sources and sex were quite different morphologically and functionally, suggesting that artificially selected mallards may be play a significant role in the ways they interact with their environments. Based on our study design we expected to see a reduced capacity for feeding efficiency among managed game-farm mallards, who we expected to be morphologically distinct from their wild counterparts. </w:t>
      </w:r>
    </w:p>
    <w:p w14:paraId="74969480" w14:textId="2D94136D" w:rsidR="001D1952" w:rsidRPr="001A06C8" w:rsidRDefault="001D1952" w:rsidP="001D1952">
      <w:pPr>
        <w:ind w:firstLine="810"/>
        <w:rPr>
          <w:color w:val="000000" w:themeColor="text1"/>
        </w:rPr>
      </w:pPr>
      <w:r w:rsidRPr="002852B6">
        <w:rPr>
          <w:color w:val="171717" w:themeColor="background2" w:themeShade="1A"/>
        </w:rPr>
        <w:t xml:space="preserve">The results </w:t>
      </w:r>
      <w:r>
        <w:rPr>
          <w:color w:val="171717" w:themeColor="background2" w:themeShade="1A"/>
        </w:rPr>
        <w:t>presented above provides insight into</w:t>
      </w:r>
      <w:r w:rsidRPr="002852B6">
        <w:rPr>
          <w:color w:val="171717" w:themeColor="background2" w:themeShade="1A"/>
        </w:rPr>
        <w:t xml:space="preserve"> the reduced </w:t>
      </w:r>
      <w:r>
        <w:rPr>
          <w:color w:val="171717" w:themeColor="background2" w:themeShade="1A"/>
        </w:rPr>
        <w:t xml:space="preserve">feeding efficiency </w:t>
      </w:r>
      <w:r w:rsidRPr="002852B6">
        <w:rPr>
          <w:color w:val="171717" w:themeColor="background2" w:themeShade="1A"/>
        </w:rPr>
        <w:t xml:space="preserve">of game-farm mallards released into the wild. </w:t>
      </w:r>
      <w:r w:rsidRPr="00EC32D4">
        <w:rPr>
          <w:color w:val="171717" w:themeColor="background2" w:themeShade="1A"/>
        </w:rPr>
        <w:t xml:space="preserve">They </w:t>
      </w:r>
      <w:r w:rsidRPr="00EC32D4">
        <w:rPr>
          <w:rFonts w:eastAsiaTheme="minorHAnsi"/>
          <w:color w:val="000000"/>
        </w:rPr>
        <w:t>are consistent with ducks lacking adaptation to the wild</w:t>
      </w:r>
      <w:r w:rsidR="00B843C0">
        <w:rPr>
          <w:rFonts w:eastAsiaTheme="minorHAnsi"/>
          <w:color w:val="000000"/>
        </w:rPr>
        <w:t xml:space="preserve"> (</w:t>
      </w:r>
      <w:proofErr w:type="spellStart"/>
      <w:r w:rsidR="00B843C0">
        <w:rPr>
          <w:rFonts w:eastAsiaTheme="minorHAnsi"/>
          <w:color w:val="000000"/>
        </w:rPr>
        <w:t>ie</w:t>
      </w:r>
      <w:proofErr w:type="spellEnd"/>
      <w:r w:rsidR="00B843C0">
        <w:rPr>
          <w:rFonts w:eastAsiaTheme="minorHAnsi"/>
          <w:color w:val="000000"/>
        </w:rPr>
        <w:t>. Shorter heads, shorter culmens, reduced lamellar density)</w:t>
      </w:r>
      <w:r w:rsidRPr="00EC32D4">
        <w:rPr>
          <w:rFonts w:eastAsiaTheme="minorHAnsi"/>
          <w:color w:val="000000"/>
        </w:rPr>
        <w:t>, which may be occurring through artificial selection</w:t>
      </w:r>
      <w:r w:rsidRPr="002852B6">
        <w:rPr>
          <w:color w:val="171717" w:themeColor="background2" w:themeShade="1A"/>
        </w:rPr>
        <w:t xml:space="preserve">. If game-farms are releasing birds with reduced capacity to feed efficiently into a wild setting, these birds </w:t>
      </w:r>
      <w:r>
        <w:rPr>
          <w:color w:val="171717" w:themeColor="background2" w:themeShade="1A"/>
        </w:rPr>
        <w:t>may</w:t>
      </w:r>
      <w:r w:rsidRPr="002852B6">
        <w:rPr>
          <w:color w:val="171717" w:themeColor="background2" w:themeShade="1A"/>
        </w:rPr>
        <w:t xml:space="preserve"> consequently not build as many lipid stores as their wild counterparts</w:t>
      </w:r>
      <w:r>
        <w:rPr>
          <w:color w:val="171717" w:themeColor="background2" w:themeShade="1A"/>
        </w:rPr>
        <w:t xml:space="preserve"> </w:t>
      </w:r>
      <w:r>
        <w:rPr>
          <w:color w:val="171717" w:themeColor="background2" w:themeShade="1A"/>
        </w:rPr>
        <w:fldChar w:fldCharType="begin"/>
      </w:r>
      <w:r>
        <w:rPr>
          <w:color w:val="171717" w:themeColor="background2" w:themeShade="1A"/>
        </w:rPr>
        <w:instrText xml:space="preserve"> ADDIN ZOTERO_ITEM CSL_CITATION {"citationID":"KvghYal0","properties":{"formattedCitation":"(Gloutney and Clark 1991, Champagnon et al. 2012)","plainCitation":"(Gloutney and Clark 1991, Champagnon et al. 2012)","noteIndex":0},"citationItems":[{"id":174,"uris":["http://zotero.org/users/local/qFeOLOrx/items/H2RRFWIB"],"itemData":{"id":174,"type":"article-journal","abstract":"Allocation of nutrients to eggs and to costs of incubation in waterfowl may be constrained by the need to maintain nutrient reserves to complete incubation. This hypothesis predicts that body mass of successfully nesting females is greater than that of unsuccessful females. This prediction was tested by comparing the body masses of successful and unsuccessful female dabbling ducks captured late in incubation. Successful Mallards (Anas platyrhynchos) and Northern Shovelers (A. clypeata) were significantly heavier than unsuccessful females, and this process constituted evidence of directional selection. Body masses of successful and unsuccessful Blue-winged Teal (A. discors) did not differ.We calculated residual (observed-predicted) body masses using published regression equations relating mass and stage of incubation in independent samples of shovelers and teal to test whether successful females in our study were relatively heavy. Residual body mass estimates of successful shovelers were significantly greater than those of unsuccessful ones; in teal, no relationship was found. Nutrient reserves may influence successful incubation in some prairie-nesting ducks and the relationship may be stronger in larger species that are most capable of storing nutrients.","container-title":"The Condor","DOI":"10.2307/3247715","ISSN":"1938-5129","issue":"4","journalAbbreviation":"The Condor","page":"811-816","source":"Silverchair","title":"The Significance of Body Mass to Female Dabbling Ducks during Late Incubation","volume":"93","author":[{"family":"Gloutney","given":"Mark L."},{"family":"Clark","given":"Robert G."}],"issued":{"date-parts":[["1991",11,1]]}}},{"id":120,"uris":["http://zotero.org/users/local/qFeOLOrx/items/4F7MRFD9"],"itemData":{"id":120,"type":"article-journal","abstract":"Captive-reared animals used in reinforcement programs are generally less likely to survive than wild conspecifics. Digestion efficiency and naive behaviour are two likely reasons for this pattern. The Mallard is a species with high adaptability to its environment and in which massive reinforcement programs are carried out. We studied physiological and behavioural factors potentially affecting body condition and survival of captive-reared Mallards after being released. Digestive system morphology and an index of body condition were compared among three groups: captive-reared birds remaining in a farm (control), captive-reared birds released into the wild as juveniles (released) and wild-born birds (wild). We also compared behaviour and diet of released vs. wild Mallards. Finally, we conducted a 1-year survival analysis of captive-reared birds after release in a hunting-free area. Gizzard weight was lower in control Mallards, but the size of other organs did not differ between controls and wild birds. The difference in gizzard weight between released and wild birds disappeared after some time in the wild. Diet analyses suggest that released Mallards show a greater preference than wild for anthropogenic food (waste grain, bait). Despite similar time-budgets, released Mallards never attained the body condition of wild birds. As a consequence, survival probability in released Mallards was low, especially when food provisioning was stopped and during harsh winter periods. We argue that the low survival of released Mallards likely has a physiological rather than a behavioural (foraging) origin. In any case, extremely few released birds live long enough to potentially enter the breeding population, even without hunting. In the context of massive releases presently carried out for hunting purposes, our study indicates a low likelihood for genetic introgression by captive-reared birds into the wild population.","container-title":"European Journal of Wildlife Research","DOI":"10.1007/s10344-011-0573-3","ISSN":"1439-0574","issue":"1","journalAbbreviation":"Eur J Wildl Res","language":"en","page":"255-267","source":"Springer Link","title":"Low survival after release into the wild: assessing “the burden of captivity” on Mallard physiology and behaviour","title-short":"Low survival after release into the wild","volume":"58","author":[{"family":"Champagnon","given":"Jocelyn"},{"family":"Guillemain","given":"Matthieu"},{"family":"Elmberg","given":"Johan"},{"family":"Massez","given":"Grégoire"},{"family":"Cavallo","given":"Francois"},{"family":"Gauthier-Clerc","given":"Michel"}],"issued":{"date-parts":[["2012",2,1]]}}}],"schema":"https://github.com/citation-style-language/schema/raw/master/csl-citation.json"} </w:instrText>
      </w:r>
      <w:r>
        <w:rPr>
          <w:color w:val="171717" w:themeColor="background2" w:themeShade="1A"/>
        </w:rPr>
        <w:fldChar w:fldCharType="separate"/>
      </w:r>
      <w:r>
        <w:rPr>
          <w:noProof/>
          <w:color w:val="171717" w:themeColor="background2" w:themeShade="1A"/>
        </w:rPr>
        <w:t>(Gloutney and Clark 1991, Champagnon et al. 2012)</w:t>
      </w:r>
      <w:r>
        <w:rPr>
          <w:color w:val="171717" w:themeColor="background2" w:themeShade="1A"/>
        </w:rPr>
        <w:fldChar w:fldCharType="end"/>
      </w:r>
      <w:r w:rsidRPr="002852B6">
        <w:rPr>
          <w:color w:val="171717" w:themeColor="background2" w:themeShade="1A"/>
        </w:rPr>
        <w:t>. As suggested by Champagnon 2012, this reduced body condition</w:t>
      </w:r>
      <w:r w:rsidR="00B843C0">
        <w:rPr>
          <w:color w:val="171717" w:themeColor="background2" w:themeShade="1A"/>
        </w:rPr>
        <w:t xml:space="preserve"> in addition to maladaptive morphological traits like reduced wing chord length</w:t>
      </w:r>
      <w:r w:rsidRPr="002852B6">
        <w:rPr>
          <w:color w:val="171717" w:themeColor="background2" w:themeShade="1A"/>
        </w:rPr>
        <w:t xml:space="preserve"> in farm-raised mallards </w:t>
      </w:r>
      <w:r>
        <w:rPr>
          <w:color w:val="171717" w:themeColor="background2" w:themeShade="1A"/>
        </w:rPr>
        <w:t>may</w:t>
      </w:r>
      <w:r w:rsidRPr="002852B6">
        <w:rPr>
          <w:color w:val="171717" w:themeColor="background2" w:themeShade="1A"/>
        </w:rPr>
        <w:t xml:space="preserve"> cause low survivorship and reduced distances traveled during migration. Even if a farm-raised female survives to breeding season, her lipid stores may not be as substantial as a wild female’s, which directly impacts egg quality and production rates</w:t>
      </w:r>
      <w:r>
        <w:rPr>
          <w:color w:val="171717" w:themeColor="background2" w:themeShade="1A"/>
        </w:rPr>
        <w:t xml:space="preserve"> </w:t>
      </w:r>
      <w:r>
        <w:rPr>
          <w:color w:val="171717" w:themeColor="background2" w:themeShade="1A"/>
        </w:rPr>
        <w:fldChar w:fldCharType="begin"/>
      </w:r>
      <w:r>
        <w:rPr>
          <w:color w:val="171717" w:themeColor="background2" w:themeShade="1A"/>
        </w:rPr>
        <w:instrText xml:space="preserve"> ADDIN ZOTERO_ITEM CSL_CITATION {"citationID":"Qt0QhzNb","properties":{"formattedCitation":"(Cheng et al. 1980)","plainCitation":"(Cheng et al. 1980)","noteIndex":0},"citationItems":[{"id":190,"uris":["http://zotero.org/users/local/qFeOLOrx/items/7IIZ3BGR"],"itemData":{"id":190,"type":"article-journal","abstract":"Reproductive performance was studied in five strains of mallards with different degrees of wildness. Game farm mallards had a longer breeding season, higher egg production, larger clutch size, and higher male fertility than wild mallards. Incubation time and maximum emergence time were also longer for eggs laid by game farm dams than for eggs laid by wild dams. There was no significant difference between strains for embryonic mortality and hatchability. Hybrid strains were intermediate between the game farm and the wild strain in traits where significant differences were found. Although game farm and wild mallards differed substantially in several of the reproductive traits examined, and these differences may have a direct influence on the reproductive success of game farm strains in the wild, none seems to present any postcopulatory isolating mechanisms between these two strains of mallards.","container-title":"Poultry Science","DOI":"10.3382/ps.0591970","ISSN":"0032-5791","issue":"9","journalAbbreviation":"Poultry Science","language":"en","page":"1970-1976","source":"ScienceDirect","title":"Reproductive Performance in Wild and Game Farm Mallards","volume":"59","author":[{"family":"Cheng","given":"KIMBERLY M."},{"family":"Shoffner","given":"ROBERT N."},{"family":"Phillips","given":"RICHARD E."},{"family":"Lee","given":"FORREST B."}],"issued":{"date-parts":[["1980",9,1]]}}}],"schema":"https://github.com/citation-style-language/schema/raw/master/csl-citation.json"} </w:instrText>
      </w:r>
      <w:r>
        <w:rPr>
          <w:color w:val="171717" w:themeColor="background2" w:themeShade="1A"/>
        </w:rPr>
        <w:fldChar w:fldCharType="separate"/>
      </w:r>
      <w:r>
        <w:rPr>
          <w:noProof/>
          <w:color w:val="171717" w:themeColor="background2" w:themeShade="1A"/>
        </w:rPr>
        <w:t>(Cheng et al. 1980)</w:t>
      </w:r>
      <w:r>
        <w:rPr>
          <w:color w:val="171717" w:themeColor="background2" w:themeShade="1A"/>
        </w:rPr>
        <w:fldChar w:fldCharType="end"/>
      </w:r>
      <w:r w:rsidRPr="002852B6">
        <w:rPr>
          <w:color w:val="171717" w:themeColor="background2" w:themeShade="1A"/>
        </w:rPr>
        <w:t>. The data contributes a clearer understanding of the consequences of population management techniques that do not consider thousands of years of mallard domestication. While previous research has focused on </w:t>
      </w:r>
      <w:r w:rsidRPr="002852B6">
        <w:rPr>
          <w:rStyle w:val="Emphasis"/>
          <w:rFonts w:eastAsiaTheme="majorEastAsia"/>
          <w:color w:val="171717" w:themeColor="background2" w:themeShade="1A"/>
        </w:rPr>
        <w:t>body condition and morphological differences between wild and game-farm mallards,</w:t>
      </w:r>
      <w:r w:rsidRPr="002852B6">
        <w:rPr>
          <w:color w:val="171717" w:themeColor="background2" w:themeShade="1A"/>
        </w:rPr>
        <w:t xml:space="preserve"> these results</w:t>
      </w:r>
      <w:r>
        <w:rPr>
          <w:color w:val="171717" w:themeColor="background2" w:themeShade="1A"/>
        </w:rPr>
        <w:t xml:space="preserve"> could be the result of artificial selection,</w:t>
      </w:r>
      <w:r w:rsidRPr="002852B6">
        <w:rPr>
          <w:color w:val="171717" w:themeColor="background2" w:themeShade="1A"/>
        </w:rPr>
        <w:t xml:space="preserve"> demonstrat</w:t>
      </w:r>
      <w:r>
        <w:rPr>
          <w:color w:val="171717" w:themeColor="background2" w:themeShade="1A"/>
        </w:rPr>
        <w:t xml:space="preserve">ing </w:t>
      </w:r>
      <w:r w:rsidRPr="002852B6">
        <w:rPr>
          <w:color w:val="171717" w:themeColor="background2" w:themeShade="1A"/>
        </w:rPr>
        <w:t xml:space="preserve">the functional </w:t>
      </w:r>
      <w:r>
        <w:rPr>
          <w:color w:val="171717" w:themeColor="background2" w:themeShade="1A"/>
        </w:rPr>
        <w:t xml:space="preserve">consequences </w:t>
      </w:r>
      <w:r w:rsidRPr="002852B6">
        <w:rPr>
          <w:color w:val="171717" w:themeColor="background2" w:themeShade="1A"/>
        </w:rPr>
        <w:t>of maladaptive artificially selected traits.</w:t>
      </w:r>
    </w:p>
    <w:p w14:paraId="1124F750" w14:textId="77777777" w:rsidR="001D1952" w:rsidRDefault="001D1952" w:rsidP="001D1952">
      <w:pPr>
        <w:ind w:firstLine="720"/>
        <w:rPr>
          <w:color w:val="171717" w:themeColor="background2" w:themeShade="1A"/>
        </w:rPr>
      </w:pPr>
      <w:r w:rsidRPr="002852B6">
        <w:rPr>
          <w:color w:val="171717" w:themeColor="background2" w:themeShade="1A"/>
        </w:rPr>
        <w:t xml:space="preserve">Keeping differences between wild and game-farm mallards at a minimum is difficult in a farm setting but can be minimized through a variety of techniques. Mallard breeders can offer their birds foods that better resembles their natural diets to maintain selective pressure for denser lamellae. Additionally, breeders can provide the females of their domestic stock with open pens that only allow for wild birds to enter the breeding facility. This allows for the introgression of wild traits into the domestic stock and not allow for introgression of domestic traits into wild stock. </w:t>
      </w:r>
    </w:p>
    <w:p w14:paraId="08486B3A" w14:textId="5D46360F" w:rsidR="00906BB9" w:rsidRDefault="00906BB9" w:rsidP="00BA4B65">
      <w:pPr>
        <w:rPr>
          <w:b/>
          <w:bCs/>
        </w:rPr>
      </w:pPr>
    </w:p>
    <w:p w14:paraId="6994BACF" w14:textId="77777777" w:rsidR="00906BB9" w:rsidRDefault="00906BB9" w:rsidP="00BA4B65">
      <w:pPr>
        <w:rPr>
          <w:b/>
          <w:bCs/>
        </w:rPr>
      </w:pPr>
    </w:p>
    <w:p w14:paraId="02B920FA" w14:textId="0100677C" w:rsidR="00C05395" w:rsidRDefault="00C05395" w:rsidP="00BA4B65">
      <w:pPr>
        <w:rPr>
          <w:b/>
          <w:bCs/>
        </w:rPr>
      </w:pPr>
      <w:r>
        <w:rPr>
          <w:b/>
          <w:bCs/>
        </w:rPr>
        <w:t>LITERATURE CITED</w:t>
      </w:r>
    </w:p>
    <w:p w14:paraId="22D1C02E" w14:textId="77777777" w:rsidR="00906BB9" w:rsidRPr="00906BB9" w:rsidRDefault="00906BB9" w:rsidP="00906BB9">
      <w:pPr>
        <w:pStyle w:val="Bibliography"/>
      </w:pPr>
      <w:r>
        <w:fldChar w:fldCharType="begin"/>
      </w:r>
      <w:r>
        <w:instrText xml:space="preserve"> ADDIN ZOTERO_BIBL {"uncited":[],"omitted":[],"custom":[]} CSL_BIBLIOGRAPHY </w:instrText>
      </w:r>
      <w:r>
        <w:fldChar w:fldCharType="separate"/>
      </w:r>
      <w:r w:rsidRPr="00906BB9">
        <w:t>Araki, H., B. Cooper, and M. S. Blouin (2007). Genetic Effects of Captive Breeding Cause a Rapid, Cumulative Fitness Decline in the Wild. Science 318:100–103.</w:t>
      </w:r>
    </w:p>
    <w:p w14:paraId="63C663A6" w14:textId="77777777" w:rsidR="00906BB9" w:rsidRPr="00906BB9" w:rsidRDefault="00906BB9" w:rsidP="00906BB9">
      <w:pPr>
        <w:pStyle w:val="Bibliography"/>
      </w:pPr>
      <w:r w:rsidRPr="00906BB9">
        <w:t>Baldassarre, G. (2014). Ducks, Geese, and Swans of North America. JHU Press.</w:t>
      </w:r>
    </w:p>
    <w:p w14:paraId="4CE9C752" w14:textId="77777777" w:rsidR="00906BB9" w:rsidRPr="00906BB9" w:rsidRDefault="00906BB9" w:rsidP="00906BB9">
      <w:pPr>
        <w:pStyle w:val="Bibliography"/>
      </w:pPr>
      <w:r w:rsidRPr="00906BB9">
        <w:t>Champagnon, J., P.-A. Crochet, J. Kreisinger, D. Čížková, M. Gauthier-Clerc, G. Massez, P. Söderquist, T. Albrecht, and M. Guillemain (2013). Assessing the genetic impact of massive restocking on wild mallard. Animal Conservation 16:295–305.</w:t>
      </w:r>
    </w:p>
    <w:p w14:paraId="3F9083D5" w14:textId="77777777" w:rsidR="00906BB9" w:rsidRPr="00906BB9" w:rsidRDefault="00906BB9" w:rsidP="00906BB9">
      <w:pPr>
        <w:pStyle w:val="Bibliography"/>
      </w:pPr>
      <w:r w:rsidRPr="00906BB9">
        <w:t>Champagnon, J., M. Guillemain, J. Elmberg, K. Folkesson, and M. Gauthier‐Clerc (2010). Changes in Mallard Anas platyrhynchos bill morphology after 30 years of supplemental stocking. Bird Study 57:344–351.</w:t>
      </w:r>
    </w:p>
    <w:p w14:paraId="261E6390" w14:textId="77777777" w:rsidR="00906BB9" w:rsidRPr="00906BB9" w:rsidRDefault="00906BB9" w:rsidP="00906BB9">
      <w:pPr>
        <w:pStyle w:val="Bibliography"/>
      </w:pPr>
      <w:r w:rsidRPr="00906BB9">
        <w:t>Champagnon, J., P. Legagneux, G. Souchay, P. Inchausti, V. Bretagnolle, F. Bourguemestre, L. Van Ingen, and M. Guillemain (2016). Robust estimation of survival and contribution of captive-bred Mallards Anas platyrhynchos to a wild population in a large-scale release programme. Ibis 158:343–352.</w:t>
      </w:r>
    </w:p>
    <w:p w14:paraId="76DE5557" w14:textId="77777777" w:rsidR="00906BB9" w:rsidRPr="00906BB9" w:rsidRDefault="00906BB9" w:rsidP="00906BB9">
      <w:pPr>
        <w:pStyle w:val="Bibliography"/>
      </w:pPr>
      <w:r w:rsidRPr="00906BB9">
        <w:t>Čížková, D., V. Javůrková, J. Champagnon, and J. Kreisinger (2012). Duck’s not dead: Does restocking with captive bred individuals affect the genetic integrity of wild mallard (Anas platyrhynchos) population? Biological Conservation 152:231–240.</w:t>
      </w:r>
    </w:p>
    <w:p w14:paraId="4A7CD621" w14:textId="77777777" w:rsidR="00906BB9" w:rsidRPr="00906BB9" w:rsidRDefault="00906BB9" w:rsidP="00906BB9">
      <w:pPr>
        <w:pStyle w:val="Bibliography"/>
      </w:pPr>
      <w:r w:rsidRPr="00906BB9">
        <w:t>Davis, J. B., D. C. Outlaw, K. M. Ringelman, R. M. Kaminski, and P. Lavretsky (2022). Low levels of hybridization between domestic and wild Mallards wintering in the lower Mississippi Flyway. Ornithology 139:ukac034.</w:t>
      </w:r>
    </w:p>
    <w:p w14:paraId="322F7CA4" w14:textId="77777777" w:rsidR="00906BB9" w:rsidRPr="00906BB9" w:rsidRDefault="00906BB9" w:rsidP="00906BB9">
      <w:pPr>
        <w:pStyle w:val="Bibliography"/>
      </w:pPr>
      <w:r w:rsidRPr="00906BB9">
        <w:t>Dingemanse, N. J., and N. A. Dochtermann (2013). Quantifying individual variation in behaviour: mixed-effect modelling approaches. Journal of Animal Ecology 82:39–54.</w:t>
      </w:r>
    </w:p>
    <w:p w14:paraId="62CD7272" w14:textId="77777777" w:rsidR="00906BB9" w:rsidRPr="00906BB9" w:rsidRDefault="00906BB9" w:rsidP="00906BB9">
      <w:pPr>
        <w:pStyle w:val="Bibliography"/>
      </w:pPr>
      <w:r w:rsidRPr="00906BB9">
        <w:t>Ellison, C. K., and R. S. Burton (2008). Interpopulation Hybrid Breakdown Maps to the Mitochondrial Genome. Evolution 62:631–638.</w:t>
      </w:r>
    </w:p>
    <w:p w14:paraId="7EAC7B91" w14:textId="77777777" w:rsidR="00906BB9" w:rsidRPr="00906BB9" w:rsidRDefault="00906BB9" w:rsidP="00906BB9">
      <w:pPr>
        <w:pStyle w:val="Bibliography"/>
      </w:pPr>
      <w:r w:rsidRPr="00906BB9">
        <w:t>Feng, P., T. Zeng, H. Yang, G. Chen, J. Du, L. Chen, J. Shen, Z. Tao, P. Wang, L. Yang, and L. Lu (2021). Whole-genome resequencing provides insights into the population structure and domestication signatures of ducks in eastern China. BMC Genomics 22:401.</w:t>
      </w:r>
    </w:p>
    <w:p w14:paraId="3A0D690E" w14:textId="77777777" w:rsidR="00906BB9" w:rsidRPr="00906BB9" w:rsidRDefault="00906BB9" w:rsidP="00906BB9">
      <w:pPr>
        <w:pStyle w:val="Bibliography"/>
      </w:pPr>
      <w:r w:rsidRPr="00906BB9">
        <w:t>Heusmann, H. W. (1991). The History and Status of the Mallard in the Atlantic Flyway. Wildlife Society Bulletin (1973-2006) 19:14–22.</w:t>
      </w:r>
    </w:p>
    <w:p w14:paraId="2F840FD6" w14:textId="77777777" w:rsidR="00906BB9" w:rsidRPr="00906BB9" w:rsidRDefault="00906BB9" w:rsidP="00906BB9">
      <w:pPr>
        <w:pStyle w:val="Bibliography"/>
      </w:pPr>
      <w:r w:rsidRPr="00906BB9">
        <w:t>Kaminski, M. R., G. A. Baldassarre, J. B. Davis, E. R. Wengert, and R. M. Kaminski (2013). Mallard survival and nesting ecology in the Lower Great Lakes Region, New York. Wildlife Society Bulletin 37:778–786.</w:t>
      </w:r>
    </w:p>
    <w:p w14:paraId="78603EBC" w14:textId="77777777" w:rsidR="00906BB9" w:rsidRPr="00906BB9" w:rsidRDefault="00906BB9" w:rsidP="00906BB9">
      <w:pPr>
        <w:pStyle w:val="Bibliography"/>
      </w:pPr>
      <w:r w:rsidRPr="00906BB9">
        <w:t xml:space="preserve">Lavretsky, P., N. R. McInerney, J. E. Mohl, J. I. Brown, H. F. James, K. G. McCracken, and R. C. Fleischer (2020). Assessing changes in genomic divergence following a century of </w:t>
      </w:r>
      <w:r w:rsidRPr="00906BB9">
        <w:lastRenderedPageBreak/>
        <w:t>human-mediated secondary contact among wild and captive-bred ducks. Molecular Ecology 29:578–595.</w:t>
      </w:r>
    </w:p>
    <w:p w14:paraId="1F53A2C4" w14:textId="77777777" w:rsidR="00906BB9" w:rsidRPr="00906BB9" w:rsidRDefault="00906BB9" w:rsidP="00906BB9">
      <w:pPr>
        <w:pStyle w:val="Bibliography"/>
      </w:pPr>
      <w:r w:rsidRPr="00906BB9">
        <w:t>Miller, M. R. (1975). Gut Morphology of Mallards in Relation to Diet Quality. The Journal of Wildlife Management 39:168–173.</w:t>
      </w:r>
    </w:p>
    <w:p w14:paraId="66980567" w14:textId="77777777" w:rsidR="00906BB9" w:rsidRPr="00906BB9" w:rsidRDefault="00906BB9" w:rsidP="00906BB9">
      <w:pPr>
        <w:pStyle w:val="Bibliography"/>
      </w:pPr>
      <w:r w:rsidRPr="00906BB9">
        <w:t>Negovetich, N. J., and R. G. Webster (2010). Thermostability of Subpopulations of H2N3 Influenza Virus Isolates from Mallard Ducks. Journal of Virology 84:9369–9376.</w:t>
      </w:r>
    </w:p>
    <w:p w14:paraId="71143634" w14:textId="77777777" w:rsidR="00906BB9" w:rsidRPr="00906BB9" w:rsidRDefault="00906BB9" w:rsidP="00906BB9">
      <w:pPr>
        <w:pStyle w:val="Bibliography"/>
      </w:pPr>
      <w:r w:rsidRPr="00906BB9">
        <w:t>Söderquist, P., J. Norrström, J. Elmberg, M. Guillemain, and G. Gunnarsson (2014). Wild Mallards Have More “Goose-Like” Bills Than Their Ancestors: A Case of Anthropogenic Influence? PLOS ONE 9:e115143.</w:t>
      </w:r>
    </w:p>
    <w:p w14:paraId="078EA2F8" w14:textId="03D62DFE" w:rsidR="00C05395" w:rsidRPr="00474315" w:rsidRDefault="00906BB9" w:rsidP="00BA4B65">
      <w:r>
        <w:fldChar w:fldCharType="end"/>
      </w:r>
    </w:p>
    <w:sectPr w:rsidR="00C05395" w:rsidRPr="00474315" w:rsidSect="00917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4A0"/>
    <w:multiLevelType w:val="multilevel"/>
    <w:tmpl w:val="F3D6ED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3127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65"/>
    <w:rsid w:val="000E4E97"/>
    <w:rsid w:val="001D1952"/>
    <w:rsid w:val="001F1B3C"/>
    <w:rsid w:val="00442C37"/>
    <w:rsid w:val="00443F5B"/>
    <w:rsid w:val="00474315"/>
    <w:rsid w:val="004D4A22"/>
    <w:rsid w:val="00575B91"/>
    <w:rsid w:val="00581590"/>
    <w:rsid w:val="005F29FB"/>
    <w:rsid w:val="008F0074"/>
    <w:rsid w:val="00906BB9"/>
    <w:rsid w:val="00917D4B"/>
    <w:rsid w:val="00B27ED8"/>
    <w:rsid w:val="00B843C0"/>
    <w:rsid w:val="00BA4B65"/>
    <w:rsid w:val="00BD4AF5"/>
    <w:rsid w:val="00C05395"/>
    <w:rsid w:val="00D33EB2"/>
    <w:rsid w:val="00F0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C715"/>
  <w15:chartTrackingRefBased/>
  <w15:docId w15:val="{ECE7AE74-896F-4F49-8847-088BE46B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65"/>
    <w:rPr>
      <w:rFonts w:ascii="Times New Roman" w:eastAsia="Times New Roman" w:hAnsi="Times New Roman" w:cs="Times New Roman"/>
    </w:rPr>
  </w:style>
  <w:style w:type="paragraph" w:styleId="Heading1">
    <w:name w:val="heading 1"/>
    <w:basedOn w:val="Normal"/>
    <w:link w:val="Heading1Char"/>
    <w:uiPriority w:val="9"/>
    <w:qFormat/>
    <w:rsid w:val="00BA4B65"/>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BA4B65"/>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BA4B65"/>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rsid w:val="00BA4B65"/>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BA4B65"/>
    <w:pPr>
      <w:numPr>
        <w:ilvl w:val="4"/>
        <w:numId w:val="1"/>
      </w:numPr>
      <w:spacing w:before="4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BA4B65"/>
    <w:pPr>
      <w:numPr>
        <w:ilvl w:val="5"/>
        <w:numId w:val="1"/>
      </w:numPr>
      <w:spacing w:before="4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BA4B65"/>
    <w:pPr>
      <w:numPr>
        <w:ilvl w:val="6"/>
        <w:numId w:val="1"/>
      </w:numPr>
      <w:spacing w:before="4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BA4B65"/>
    <w:pPr>
      <w:numPr>
        <w:ilvl w:val="7"/>
        <w:numId w:val="1"/>
      </w:numPr>
      <w:spacing w:before="4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BA4B65"/>
    <w:pPr>
      <w:numPr>
        <w:ilvl w:val="8"/>
        <w:numId w:val="1"/>
      </w:numPr>
      <w:spacing w:before="4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B65"/>
    <w:rPr>
      <w:rFonts w:asciiTheme="majorHAnsi" w:eastAsia="Times New Roman" w:hAnsiTheme="majorHAnsi" w:cs="Times New Roman"/>
      <w:caps/>
      <w:color w:val="ED7D31" w:themeColor="accent2"/>
      <w:spacing w:val="14"/>
      <w:sz w:val="26"/>
      <w:szCs w:val="26"/>
    </w:rPr>
  </w:style>
  <w:style w:type="character" w:customStyle="1" w:styleId="Heading2Char">
    <w:name w:val="Heading 2 Char"/>
    <w:basedOn w:val="DefaultParagraphFont"/>
    <w:link w:val="Heading2"/>
    <w:uiPriority w:val="9"/>
    <w:rsid w:val="00BA4B65"/>
    <w:rPr>
      <w:rFonts w:asciiTheme="majorHAnsi" w:eastAsiaTheme="majorEastAsia" w:hAnsiTheme="majorHAnsi" w:cstheme="majorBidi"/>
      <w:color w:val="ED7D31" w:themeColor="accent2"/>
      <w:szCs w:val="26"/>
    </w:rPr>
  </w:style>
  <w:style w:type="character" w:customStyle="1" w:styleId="Heading3Char">
    <w:name w:val="Heading 3 Char"/>
    <w:basedOn w:val="DefaultParagraphFont"/>
    <w:link w:val="Heading3"/>
    <w:uiPriority w:val="9"/>
    <w:rsid w:val="00BA4B65"/>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BA4B65"/>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sid w:val="00BA4B65"/>
    <w:rPr>
      <w:rFonts w:asciiTheme="majorHAnsi" w:eastAsiaTheme="majorEastAsia" w:hAnsiTheme="majorHAnsi" w:cstheme="majorBidi"/>
      <w:i/>
      <w:color w:val="ED7D31" w:themeColor="accent2"/>
      <w:spacing w:val="6"/>
    </w:rPr>
  </w:style>
  <w:style w:type="character" w:customStyle="1" w:styleId="Heading6Char">
    <w:name w:val="Heading 6 Char"/>
    <w:basedOn w:val="DefaultParagraphFont"/>
    <w:link w:val="Heading6"/>
    <w:uiPriority w:val="9"/>
    <w:semiHidden/>
    <w:rsid w:val="00BA4B65"/>
    <w:rPr>
      <w:rFonts w:asciiTheme="majorHAnsi" w:eastAsiaTheme="majorEastAsia" w:hAnsiTheme="majorHAnsi" w:cstheme="majorBidi"/>
      <w:color w:val="ED7D31" w:themeColor="accent2"/>
      <w:spacing w:val="12"/>
    </w:rPr>
  </w:style>
  <w:style w:type="character" w:customStyle="1" w:styleId="Heading7Char">
    <w:name w:val="Heading 7 Char"/>
    <w:basedOn w:val="DefaultParagraphFont"/>
    <w:link w:val="Heading7"/>
    <w:uiPriority w:val="9"/>
    <w:semiHidden/>
    <w:rsid w:val="00BA4B65"/>
    <w:rPr>
      <w:rFonts w:asciiTheme="majorHAnsi" w:eastAsiaTheme="majorEastAsia" w:hAnsiTheme="majorHAnsi" w:cstheme="majorBidi"/>
      <w:iCs/>
      <w:color w:val="ED7D31" w:themeColor="accent2"/>
    </w:rPr>
  </w:style>
  <w:style w:type="character" w:customStyle="1" w:styleId="Heading8Char">
    <w:name w:val="Heading 8 Char"/>
    <w:basedOn w:val="DefaultParagraphFont"/>
    <w:link w:val="Heading8"/>
    <w:uiPriority w:val="9"/>
    <w:semiHidden/>
    <w:rsid w:val="00BA4B65"/>
    <w:rPr>
      <w:rFonts w:asciiTheme="majorHAnsi" w:eastAsiaTheme="majorEastAsia" w:hAnsiTheme="majorHAnsi" w:cstheme="majorBidi"/>
      <w:i/>
      <w:color w:val="F19D64" w:themeColor="accent2" w:themeTint="BF"/>
      <w:szCs w:val="21"/>
    </w:rPr>
  </w:style>
  <w:style w:type="character" w:customStyle="1" w:styleId="Heading9Char">
    <w:name w:val="Heading 9 Char"/>
    <w:basedOn w:val="DefaultParagraphFont"/>
    <w:link w:val="Heading9"/>
    <w:uiPriority w:val="9"/>
    <w:semiHidden/>
    <w:rsid w:val="00BA4B65"/>
    <w:rPr>
      <w:rFonts w:asciiTheme="majorHAnsi" w:eastAsiaTheme="majorEastAsia" w:hAnsiTheme="majorHAnsi" w:cstheme="majorBidi"/>
      <w:iCs/>
      <w:color w:val="F19D64" w:themeColor="accent2" w:themeTint="BF"/>
      <w:szCs w:val="21"/>
    </w:rPr>
  </w:style>
  <w:style w:type="character" w:styleId="CommentReference">
    <w:name w:val="annotation reference"/>
    <w:basedOn w:val="DefaultParagraphFont"/>
    <w:uiPriority w:val="99"/>
    <w:semiHidden/>
    <w:unhideWhenUsed/>
    <w:rsid w:val="00BA4B65"/>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table" w:styleId="PlainTable5">
    <w:name w:val="Plain Table 5"/>
    <w:basedOn w:val="TableNormal"/>
    <w:uiPriority w:val="45"/>
    <w:rsid w:val="00F009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unhideWhenUsed/>
    <w:rsid w:val="00906BB9"/>
    <w:pPr>
      <w:spacing w:after="240"/>
      <w:ind w:left="720" w:hanging="720"/>
    </w:pPr>
  </w:style>
  <w:style w:type="character" w:styleId="Emphasis">
    <w:name w:val="Emphasis"/>
    <w:basedOn w:val="DefaultParagraphFont"/>
    <w:uiPriority w:val="20"/>
    <w:qFormat/>
    <w:rsid w:val="001D19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13214</Words>
  <Characters>75326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Mona Maharjan</cp:lastModifiedBy>
  <cp:revision>2</cp:revision>
  <dcterms:created xsi:type="dcterms:W3CDTF">2023-01-05T19:15:00Z</dcterms:created>
  <dcterms:modified xsi:type="dcterms:W3CDTF">2023-01-05T19:15:00Z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id="Vz8pNa5X"/&gt;&lt;style id="http://www.zotero.org/styles/the-auk" hasBibliography="1" bibliographyStyleHasBeenSet="1"/&gt;&lt;prefs&gt;&lt;pref name="fieldType" value="Field"/&gt;&lt;pref name="automaticJournalAbbreviat</vt:lpwstr>
  </property>
  <property fmtid="{D5CDD505-2E9C-101B-9397-08002B2CF9AE}" pid="3" name="ZOTERO_PREF_2">
    <vt:lpwstr>ions" value="true"/&gt;&lt;pref name="delayCitationUpdates" value="true"/&gt;&lt;pref name="dontAskDelayCitationUpdates" value="true"/&gt;&lt;/prefs&gt;&lt;/data&gt;</vt:lpwstr>
  </property>
</Properties>
</file>