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A7" w:rsidRDefault="00D754D5" w:rsidP="008725A7">
      <w:pPr>
        <w:autoSpaceDE w:val="0"/>
        <w:autoSpaceDN w:val="0"/>
        <w:adjustRightInd w:val="0"/>
        <w:rPr>
          <w:rFonts w:ascii="Arial" w:hAnsi="Arial" w:cs="Arial"/>
          <w:b/>
          <w:bCs/>
          <w:szCs w:val="24"/>
        </w:rPr>
      </w:pPr>
      <w:r>
        <w:rPr>
          <w:rFonts w:ascii="Arial" w:hAnsi="Arial" w:cs="Arial"/>
          <w:b/>
          <w:bCs/>
          <w:szCs w:val="24"/>
        </w:rPr>
        <w:t>NSF Award 0949854 – C</w:t>
      </w:r>
      <w:r w:rsidR="008725A7" w:rsidRPr="008725A7">
        <w:rPr>
          <w:rFonts w:ascii="Arial" w:hAnsi="Arial" w:cs="Arial"/>
          <w:b/>
          <w:bCs/>
          <w:szCs w:val="24"/>
        </w:rPr>
        <w:t>ollaborative Research</w:t>
      </w:r>
      <w:r>
        <w:rPr>
          <w:rFonts w:ascii="Arial" w:hAnsi="Arial" w:cs="Arial"/>
          <w:b/>
          <w:bCs/>
          <w:szCs w:val="24"/>
        </w:rPr>
        <w:t xml:space="preserve">:  </w:t>
      </w:r>
      <w:r w:rsidR="008725A7" w:rsidRPr="008725A7">
        <w:rPr>
          <w:rFonts w:ascii="Arial" w:hAnsi="Arial" w:cs="Arial"/>
          <w:b/>
          <w:bCs/>
          <w:szCs w:val="24"/>
        </w:rPr>
        <w:t>Nutrient co-limitation in young and mature northern hardwood forests</w:t>
      </w:r>
      <w:r w:rsidR="0077383E">
        <w:rPr>
          <w:rFonts w:ascii="Arial" w:hAnsi="Arial" w:cs="Arial"/>
          <w:b/>
          <w:bCs/>
          <w:szCs w:val="24"/>
        </w:rPr>
        <w:t xml:space="preserve"> </w:t>
      </w:r>
    </w:p>
    <w:p w:rsidR="00D754D5" w:rsidRDefault="00D754D5" w:rsidP="008725A7">
      <w:pPr>
        <w:autoSpaceDE w:val="0"/>
        <w:autoSpaceDN w:val="0"/>
        <w:adjustRightInd w:val="0"/>
        <w:rPr>
          <w:rFonts w:ascii="Arial" w:hAnsi="Arial" w:cs="Arial"/>
          <w:b/>
          <w:bCs/>
          <w:szCs w:val="24"/>
        </w:rPr>
      </w:pPr>
    </w:p>
    <w:p w:rsidR="008725A7" w:rsidRPr="008725A7" w:rsidRDefault="008725A7" w:rsidP="008725A7">
      <w:pPr>
        <w:autoSpaceDE w:val="0"/>
        <w:autoSpaceDN w:val="0"/>
        <w:adjustRightInd w:val="0"/>
        <w:rPr>
          <w:rFonts w:ascii="Arial" w:hAnsi="Arial" w:cs="Arial"/>
          <w:b/>
          <w:szCs w:val="24"/>
        </w:rPr>
      </w:pPr>
    </w:p>
    <w:p w:rsidR="008725A7" w:rsidRDefault="00D52B1B" w:rsidP="00D75D73">
      <w:pPr>
        <w:autoSpaceDE w:val="0"/>
        <w:autoSpaceDN w:val="0"/>
        <w:adjustRightInd w:val="0"/>
        <w:spacing w:line="360" w:lineRule="auto"/>
        <w:rPr>
          <w:rFonts w:ascii="Arial" w:hAnsi="Arial" w:cs="Arial"/>
          <w:b/>
          <w:bCs/>
          <w:szCs w:val="24"/>
        </w:rPr>
      </w:pPr>
      <w:r>
        <w:rPr>
          <w:rFonts w:ascii="Arial" w:hAnsi="Arial" w:cs="Arial"/>
          <w:b/>
          <w:bCs/>
          <w:szCs w:val="24"/>
        </w:rPr>
        <w:t>Progress Report, year 2</w:t>
      </w:r>
      <w:r w:rsidR="0077383E">
        <w:rPr>
          <w:rFonts w:ascii="Arial" w:hAnsi="Arial" w:cs="Arial"/>
          <w:b/>
          <w:bCs/>
          <w:szCs w:val="24"/>
        </w:rPr>
        <w:t xml:space="preserve"> (6/30/11 - 7/1/12)</w:t>
      </w:r>
      <w:r w:rsidR="008725A7">
        <w:rPr>
          <w:rFonts w:ascii="Arial" w:hAnsi="Arial" w:cs="Arial"/>
          <w:b/>
          <w:bCs/>
          <w:szCs w:val="24"/>
        </w:rPr>
        <w:t>, Cornell University</w:t>
      </w:r>
    </w:p>
    <w:p w:rsidR="008725A7" w:rsidRDefault="008725A7" w:rsidP="00D75D73">
      <w:pPr>
        <w:spacing w:line="360" w:lineRule="auto"/>
        <w:ind w:left="360" w:hanging="360"/>
        <w:rPr>
          <w:rFonts w:ascii="Arial" w:hAnsi="Arial" w:cs="Arial"/>
          <w:szCs w:val="24"/>
        </w:rPr>
      </w:pPr>
      <w:r w:rsidRPr="008725A7">
        <w:rPr>
          <w:rFonts w:ascii="Arial" w:hAnsi="Arial" w:cs="Arial"/>
          <w:szCs w:val="24"/>
        </w:rPr>
        <w:t>Christine Goodale,</w:t>
      </w:r>
      <w:r>
        <w:rPr>
          <w:rFonts w:ascii="Arial" w:hAnsi="Arial" w:cs="Arial"/>
          <w:szCs w:val="24"/>
        </w:rPr>
        <w:t xml:space="preserve"> </w:t>
      </w:r>
      <w:r w:rsidRPr="008725A7">
        <w:rPr>
          <w:rFonts w:ascii="Arial" w:hAnsi="Arial" w:cs="Arial"/>
          <w:szCs w:val="24"/>
        </w:rPr>
        <w:t>Department of Ecology &amp;</w:t>
      </w:r>
      <w:r>
        <w:rPr>
          <w:rFonts w:ascii="Arial" w:hAnsi="Arial" w:cs="Arial"/>
          <w:szCs w:val="24"/>
        </w:rPr>
        <w:t xml:space="preserve"> Evolutionary Biology (EEB)</w:t>
      </w:r>
    </w:p>
    <w:p w:rsidR="008725A7" w:rsidRPr="008725A7" w:rsidRDefault="008725A7" w:rsidP="00D75D73">
      <w:pPr>
        <w:spacing w:line="360" w:lineRule="auto"/>
        <w:ind w:left="360" w:hanging="360"/>
        <w:rPr>
          <w:rFonts w:ascii="Arial" w:hAnsi="Arial" w:cs="Arial"/>
          <w:szCs w:val="24"/>
        </w:rPr>
      </w:pPr>
      <w:r w:rsidRPr="008725A7">
        <w:rPr>
          <w:rFonts w:ascii="Arial" w:hAnsi="Arial" w:cs="Arial"/>
          <w:szCs w:val="24"/>
        </w:rPr>
        <w:t>Timothy Fahey, Department of Natural Resources (DNR)</w:t>
      </w:r>
    </w:p>
    <w:p w:rsidR="008725A7" w:rsidRDefault="008725A7" w:rsidP="00D75D73">
      <w:pPr>
        <w:autoSpaceDE w:val="0"/>
        <w:autoSpaceDN w:val="0"/>
        <w:adjustRightInd w:val="0"/>
        <w:spacing w:line="360" w:lineRule="auto"/>
        <w:rPr>
          <w:rFonts w:ascii="Arial" w:hAnsi="Arial" w:cs="Arial"/>
          <w:b/>
          <w:bCs/>
          <w:szCs w:val="24"/>
        </w:rPr>
      </w:pPr>
    </w:p>
    <w:p w:rsidR="008725A7" w:rsidRDefault="008725A7" w:rsidP="00D75D73">
      <w:pPr>
        <w:autoSpaceDE w:val="0"/>
        <w:autoSpaceDN w:val="0"/>
        <w:adjustRightInd w:val="0"/>
        <w:spacing w:line="360" w:lineRule="auto"/>
        <w:rPr>
          <w:rFonts w:ascii="Arial" w:hAnsi="Arial" w:cs="Arial"/>
          <w:b/>
          <w:bCs/>
          <w:szCs w:val="24"/>
        </w:rPr>
      </w:pPr>
      <w:r>
        <w:rPr>
          <w:rFonts w:ascii="Arial" w:hAnsi="Arial" w:cs="Arial"/>
          <w:b/>
          <w:bCs/>
          <w:szCs w:val="24"/>
        </w:rPr>
        <w:t>Project Collaborators:</w:t>
      </w:r>
    </w:p>
    <w:p w:rsidR="008725A7" w:rsidRDefault="008725A7" w:rsidP="00D75D73">
      <w:pPr>
        <w:autoSpaceDE w:val="0"/>
        <w:autoSpaceDN w:val="0"/>
        <w:adjustRightInd w:val="0"/>
        <w:spacing w:line="360" w:lineRule="auto"/>
        <w:rPr>
          <w:rFonts w:ascii="Arial" w:hAnsi="Arial" w:cs="Arial"/>
          <w:bCs/>
          <w:szCs w:val="24"/>
        </w:rPr>
      </w:pPr>
      <w:r w:rsidRPr="008725A7">
        <w:rPr>
          <w:rFonts w:ascii="Arial" w:hAnsi="Arial" w:cs="Arial"/>
          <w:bCs/>
          <w:szCs w:val="24"/>
        </w:rPr>
        <w:t xml:space="preserve">Ruth Yanai, Project </w:t>
      </w:r>
      <w:r w:rsidR="00D754D5">
        <w:rPr>
          <w:rFonts w:ascii="Arial" w:hAnsi="Arial" w:cs="Arial"/>
          <w:bCs/>
          <w:szCs w:val="24"/>
        </w:rPr>
        <w:t xml:space="preserve">Lead </w:t>
      </w:r>
      <w:r w:rsidRPr="008725A7">
        <w:rPr>
          <w:rFonts w:ascii="Arial" w:hAnsi="Arial" w:cs="Arial"/>
          <w:bCs/>
          <w:szCs w:val="24"/>
        </w:rPr>
        <w:t>PI, SUNY-ESF</w:t>
      </w:r>
      <w:r>
        <w:rPr>
          <w:rFonts w:ascii="Arial" w:hAnsi="Arial" w:cs="Arial"/>
          <w:bCs/>
          <w:szCs w:val="24"/>
        </w:rPr>
        <w:t>, Syracuse, NY</w:t>
      </w:r>
    </w:p>
    <w:p w:rsidR="008725A7" w:rsidRDefault="008725A7" w:rsidP="00D75D73">
      <w:pPr>
        <w:autoSpaceDE w:val="0"/>
        <w:autoSpaceDN w:val="0"/>
        <w:adjustRightInd w:val="0"/>
        <w:spacing w:line="360" w:lineRule="auto"/>
        <w:rPr>
          <w:rFonts w:ascii="Arial" w:hAnsi="Arial" w:cs="Arial"/>
          <w:bCs/>
          <w:szCs w:val="24"/>
        </w:rPr>
      </w:pPr>
      <w:r>
        <w:rPr>
          <w:rFonts w:ascii="Arial" w:hAnsi="Arial" w:cs="Arial"/>
          <w:bCs/>
          <w:szCs w:val="24"/>
        </w:rPr>
        <w:t xml:space="preserve">Ed </w:t>
      </w:r>
      <w:proofErr w:type="spellStart"/>
      <w:r>
        <w:rPr>
          <w:rFonts w:ascii="Arial" w:hAnsi="Arial" w:cs="Arial"/>
          <w:bCs/>
          <w:szCs w:val="24"/>
        </w:rPr>
        <w:t>Rastetter</w:t>
      </w:r>
      <w:proofErr w:type="spellEnd"/>
      <w:r>
        <w:rPr>
          <w:rFonts w:ascii="Arial" w:hAnsi="Arial" w:cs="Arial"/>
          <w:bCs/>
          <w:szCs w:val="24"/>
        </w:rPr>
        <w:t>, Ecosystems Center, Marine Biological Lab, Woods Hole, MA</w:t>
      </w:r>
    </w:p>
    <w:p w:rsidR="00D75D73" w:rsidRDefault="00D75D73" w:rsidP="00D75D73">
      <w:pPr>
        <w:autoSpaceDE w:val="0"/>
        <w:autoSpaceDN w:val="0"/>
        <w:adjustRightInd w:val="0"/>
        <w:spacing w:line="360" w:lineRule="auto"/>
        <w:rPr>
          <w:rFonts w:ascii="Arial" w:hAnsi="Arial" w:cs="Arial"/>
          <w:bCs/>
          <w:szCs w:val="24"/>
        </w:rPr>
      </w:pPr>
      <w:r>
        <w:rPr>
          <w:rFonts w:ascii="Arial" w:hAnsi="Arial" w:cs="Arial"/>
          <w:bCs/>
          <w:szCs w:val="24"/>
        </w:rPr>
        <w:t>Melany Fisk, Miami University, Oxford OH</w:t>
      </w:r>
    </w:p>
    <w:p w:rsidR="008725A7" w:rsidRPr="008725A7" w:rsidRDefault="00D75D73" w:rsidP="00D75D73">
      <w:pPr>
        <w:autoSpaceDE w:val="0"/>
        <w:autoSpaceDN w:val="0"/>
        <w:adjustRightInd w:val="0"/>
        <w:spacing w:line="360" w:lineRule="auto"/>
        <w:rPr>
          <w:rFonts w:ascii="Arial" w:hAnsi="Arial" w:cs="Arial"/>
          <w:b/>
          <w:bCs/>
          <w:szCs w:val="24"/>
        </w:rPr>
      </w:pPr>
      <w:r>
        <w:rPr>
          <w:rFonts w:ascii="Arial" w:hAnsi="Arial" w:cs="Arial"/>
          <w:bCs/>
          <w:szCs w:val="24"/>
        </w:rPr>
        <w:t>Joel Blum, University of Michigan, Ann Arbor, MI</w:t>
      </w:r>
    </w:p>
    <w:p w:rsidR="008725A7" w:rsidRPr="008725A7" w:rsidRDefault="008725A7" w:rsidP="00D75D73">
      <w:pPr>
        <w:autoSpaceDE w:val="0"/>
        <w:autoSpaceDN w:val="0"/>
        <w:adjustRightInd w:val="0"/>
        <w:spacing w:line="360" w:lineRule="auto"/>
        <w:rPr>
          <w:rFonts w:ascii="Arial" w:hAnsi="Arial" w:cs="Arial"/>
          <w:b/>
          <w:bCs/>
          <w:szCs w:val="24"/>
        </w:rPr>
      </w:pPr>
    </w:p>
    <w:p w:rsidR="008725A7" w:rsidRPr="008725A7" w:rsidRDefault="008725A7" w:rsidP="00D75D73">
      <w:pPr>
        <w:spacing w:line="360" w:lineRule="auto"/>
        <w:rPr>
          <w:rFonts w:ascii="Arial" w:hAnsi="Arial" w:cs="Arial"/>
          <w:szCs w:val="24"/>
        </w:rPr>
      </w:pPr>
      <w:r>
        <w:rPr>
          <w:rFonts w:ascii="Arial" w:hAnsi="Arial" w:cs="Arial"/>
          <w:b/>
          <w:szCs w:val="24"/>
        </w:rPr>
        <w:t xml:space="preserve">Cornell-Associated </w:t>
      </w:r>
      <w:r w:rsidRPr="008725A7">
        <w:rPr>
          <w:rFonts w:ascii="Arial" w:hAnsi="Arial" w:cs="Arial"/>
          <w:b/>
          <w:szCs w:val="24"/>
        </w:rPr>
        <w:t>Personnel:</w:t>
      </w:r>
      <w:r w:rsidRPr="008725A7">
        <w:rPr>
          <w:rFonts w:ascii="Arial" w:hAnsi="Arial" w:cs="Arial"/>
          <w:szCs w:val="24"/>
        </w:rPr>
        <w:t xml:space="preserve">  </w:t>
      </w:r>
    </w:p>
    <w:p w:rsidR="008725A7" w:rsidRPr="008725A7" w:rsidRDefault="008725A7" w:rsidP="00D75D73">
      <w:pPr>
        <w:spacing w:line="360" w:lineRule="auto"/>
        <w:rPr>
          <w:rFonts w:ascii="Arial" w:hAnsi="Arial" w:cs="Arial"/>
          <w:b/>
          <w:i/>
          <w:szCs w:val="24"/>
        </w:rPr>
      </w:pPr>
      <w:r w:rsidRPr="008725A7">
        <w:rPr>
          <w:rFonts w:ascii="Arial" w:hAnsi="Arial" w:cs="Arial"/>
          <w:b/>
          <w:i/>
          <w:szCs w:val="24"/>
        </w:rPr>
        <w:t>Fine Root and Soil Respiration Work</w:t>
      </w:r>
    </w:p>
    <w:p w:rsidR="008725A7" w:rsidRPr="008725A7" w:rsidRDefault="008725A7" w:rsidP="00D75D73">
      <w:pPr>
        <w:spacing w:line="360" w:lineRule="auto"/>
        <w:ind w:left="360" w:hanging="360"/>
        <w:rPr>
          <w:rFonts w:ascii="Arial" w:hAnsi="Arial" w:cs="Arial"/>
          <w:szCs w:val="24"/>
        </w:rPr>
      </w:pPr>
      <w:r w:rsidRPr="008725A7">
        <w:rPr>
          <w:rFonts w:ascii="Arial" w:hAnsi="Arial" w:cs="Arial"/>
          <w:szCs w:val="24"/>
        </w:rPr>
        <w:t>Timothy Fahey, Professor, Cornell University, Department of Natural Resources (DNR)</w:t>
      </w:r>
    </w:p>
    <w:p w:rsidR="008725A7" w:rsidRPr="008725A7" w:rsidRDefault="008725A7" w:rsidP="00D75D73">
      <w:pPr>
        <w:spacing w:line="360" w:lineRule="auto"/>
        <w:ind w:left="360" w:hanging="360"/>
        <w:rPr>
          <w:rFonts w:ascii="Arial" w:hAnsi="Arial" w:cs="Arial"/>
          <w:szCs w:val="24"/>
        </w:rPr>
      </w:pPr>
      <w:r w:rsidRPr="008725A7">
        <w:rPr>
          <w:rFonts w:ascii="Arial" w:hAnsi="Arial" w:cs="Arial"/>
          <w:szCs w:val="24"/>
        </w:rPr>
        <w:t>Kikang Ba</w:t>
      </w:r>
      <w:r w:rsidR="00EA35BA">
        <w:rPr>
          <w:rFonts w:ascii="Arial" w:hAnsi="Arial" w:cs="Arial"/>
          <w:szCs w:val="24"/>
        </w:rPr>
        <w:t>e</w:t>
      </w:r>
      <w:r w:rsidRPr="008725A7">
        <w:rPr>
          <w:rFonts w:ascii="Arial" w:hAnsi="Arial" w:cs="Arial"/>
          <w:szCs w:val="24"/>
        </w:rPr>
        <w:t>. PhD candidate, SUNY-ESF, kbae02@syr.edu</w:t>
      </w:r>
    </w:p>
    <w:p w:rsidR="008725A7" w:rsidRPr="008725A7" w:rsidRDefault="008725A7" w:rsidP="00D75D73">
      <w:pPr>
        <w:spacing w:line="360" w:lineRule="auto"/>
        <w:ind w:left="360" w:hanging="360"/>
        <w:rPr>
          <w:rFonts w:ascii="Arial" w:hAnsi="Arial" w:cs="Arial"/>
          <w:szCs w:val="24"/>
        </w:rPr>
      </w:pPr>
      <w:r w:rsidRPr="008725A7">
        <w:rPr>
          <w:rFonts w:ascii="Arial" w:hAnsi="Arial" w:cs="Arial"/>
          <w:szCs w:val="24"/>
        </w:rPr>
        <w:t>Natalie Cleavitt, research associate, Cornell University, DNR</w:t>
      </w:r>
      <w:r w:rsidR="007C36A3" w:rsidRPr="007C36A3">
        <w:rPr>
          <w:rFonts w:ascii="Arial" w:hAnsi="Arial" w:cs="Arial"/>
          <w:szCs w:val="24"/>
        </w:rPr>
        <w:t>, nlc4@cornell.edu</w:t>
      </w:r>
      <w:r w:rsidR="007C36A3" w:rsidRPr="008725A7">
        <w:rPr>
          <w:rFonts w:ascii="Arial" w:hAnsi="Arial" w:cs="Arial"/>
          <w:szCs w:val="24"/>
        </w:rPr>
        <w:t xml:space="preserve"> </w:t>
      </w:r>
    </w:p>
    <w:p w:rsidR="008725A7" w:rsidRPr="008725A7" w:rsidRDefault="008725A7" w:rsidP="00D75D73">
      <w:pPr>
        <w:spacing w:line="360" w:lineRule="auto"/>
        <w:ind w:left="360" w:hanging="360"/>
        <w:rPr>
          <w:rFonts w:ascii="Arial" w:hAnsi="Arial" w:cs="Arial"/>
          <w:szCs w:val="24"/>
        </w:rPr>
      </w:pPr>
      <w:r w:rsidRPr="008725A7">
        <w:rPr>
          <w:rFonts w:ascii="Arial" w:hAnsi="Arial" w:cs="Arial"/>
          <w:szCs w:val="24"/>
        </w:rPr>
        <w:t>Ang Li, MS candidate, Cornell University, DNR, al654@cornell.edu</w:t>
      </w:r>
    </w:p>
    <w:p w:rsidR="008725A7" w:rsidRDefault="008725A7" w:rsidP="00D75D73">
      <w:pPr>
        <w:spacing w:line="360" w:lineRule="auto"/>
        <w:ind w:left="360" w:hanging="360"/>
        <w:rPr>
          <w:rFonts w:ascii="Arial" w:hAnsi="Arial" w:cs="Arial"/>
          <w:szCs w:val="24"/>
        </w:rPr>
      </w:pPr>
      <w:r w:rsidRPr="008725A7">
        <w:rPr>
          <w:rFonts w:ascii="Arial" w:hAnsi="Arial" w:cs="Arial"/>
          <w:szCs w:val="24"/>
        </w:rPr>
        <w:t>Cynthia Wood, technician, Cornell University, DNR</w:t>
      </w:r>
    </w:p>
    <w:p w:rsidR="00AF12FC" w:rsidRPr="008725A7" w:rsidRDefault="00AF12FC" w:rsidP="00D75D73">
      <w:pPr>
        <w:spacing w:line="360" w:lineRule="auto"/>
        <w:ind w:left="360" w:hanging="360"/>
        <w:rPr>
          <w:rFonts w:ascii="Arial" w:hAnsi="Arial" w:cs="Arial"/>
          <w:szCs w:val="24"/>
        </w:rPr>
      </w:pPr>
      <w:r>
        <w:rPr>
          <w:rFonts w:ascii="Arial" w:hAnsi="Arial" w:cs="Arial"/>
          <w:szCs w:val="24"/>
        </w:rPr>
        <w:t>Alexis Heinz, technician, Cornell University, DNR</w:t>
      </w:r>
    </w:p>
    <w:p w:rsidR="008725A7" w:rsidRPr="008725A7" w:rsidRDefault="008725A7" w:rsidP="00D75D73">
      <w:pPr>
        <w:spacing w:line="360" w:lineRule="auto"/>
        <w:rPr>
          <w:rFonts w:ascii="Arial" w:hAnsi="Arial" w:cs="Arial"/>
          <w:b/>
          <w:i/>
          <w:szCs w:val="24"/>
        </w:rPr>
      </w:pPr>
      <w:r w:rsidRPr="008725A7">
        <w:rPr>
          <w:rFonts w:ascii="Arial" w:hAnsi="Arial" w:cs="Arial"/>
          <w:b/>
          <w:i/>
          <w:szCs w:val="24"/>
        </w:rPr>
        <w:t xml:space="preserve">Soil Carbon and Nitrogen Pools </w:t>
      </w:r>
    </w:p>
    <w:p w:rsidR="008725A7" w:rsidRDefault="008725A7" w:rsidP="00D75D73">
      <w:pPr>
        <w:spacing w:line="360" w:lineRule="auto"/>
        <w:ind w:left="360" w:hanging="360"/>
        <w:rPr>
          <w:rFonts w:ascii="Arial" w:hAnsi="Arial" w:cs="Arial"/>
          <w:szCs w:val="24"/>
        </w:rPr>
      </w:pPr>
      <w:r w:rsidRPr="008725A7">
        <w:rPr>
          <w:rFonts w:ascii="Arial" w:hAnsi="Arial" w:cs="Arial"/>
          <w:szCs w:val="24"/>
        </w:rPr>
        <w:t xml:space="preserve">Christine Goodale, Associate Professor, Cornell University, </w:t>
      </w:r>
      <w:r w:rsidR="00D75D73">
        <w:rPr>
          <w:rFonts w:ascii="Arial" w:hAnsi="Arial" w:cs="Arial"/>
          <w:szCs w:val="24"/>
        </w:rPr>
        <w:t>EEB</w:t>
      </w:r>
      <w:r w:rsidRPr="008725A7">
        <w:rPr>
          <w:rFonts w:ascii="Arial" w:hAnsi="Arial" w:cs="Arial"/>
          <w:szCs w:val="24"/>
        </w:rPr>
        <w:t>, clg33@cornell.edu</w:t>
      </w:r>
    </w:p>
    <w:p w:rsidR="00FD2121" w:rsidRPr="00FD2121" w:rsidRDefault="00FD2121" w:rsidP="00FD2121">
      <w:pPr>
        <w:spacing w:line="360" w:lineRule="auto"/>
        <w:ind w:left="360" w:hanging="360"/>
        <w:rPr>
          <w:rFonts w:ascii="Arial" w:hAnsi="Arial" w:cs="Arial"/>
          <w:szCs w:val="24"/>
        </w:rPr>
      </w:pPr>
      <w:r w:rsidRPr="00FD2121">
        <w:rPr>
          <w:rFonts w:ascii="Arial" w:hAnsi="Arial" w:cs="Arial"/>
          <w:szCs w:val="24"/>
        </w:rPr>
        <w:t>April Melvin, PhD candidate, Cornell University, EEB, amm243@cornell.edu</w:t>
      </w:r>
    </w:p>
    <w:p w:rsidR="00FD2121" w:rsidRPr="00FD2121" w:rsidRDefault="00FD2121" w:rsidP="00FD2121">
      <w:pPr>
        <w:spacing w:line="360" w:lineRule="auto"/>
        <w:ind w:left="360" w:hanging="360"/>
        <w:rPr>
          <w:rFonts w:ascii="Arial" w:hAnsi="Arial" w:cs="Arial"/>
          <w:szCs w:val="24"/>
        </w:rPr>
      </w:pPr>
      <w:r w:rsidRPr="00FD2121">
        <w:rPr>
          <w:rFonts w:ascii="Arial" w:hAnsi="Arial" w:cs="Arial"/>
          <w:szCs w:val="24"/>
        </w:rPr>
        <w:t>Gavin Mackellar, BS 2011, Cornell University, DNR, gmm64@cornell.edu</w:t>
      </w:r>
    </w:p>
    <w:p w:rsidR="00FD2121" w:rsidRPr="00FD2121" w:rsidRDefault="00FD2121" w:rsidP="00FD2121">
      <w:pPr>
        <w:spacing w:line="360" w:lineRule="auto"/>
        <w:ind w:left="360" w:hanging="360"/>
        <w:rPr>
          <w:rFonts w:ascii="Arial" w:hAnsi="Arial" w:cs="Arial"/>
          <w:szCs w:val="24"/>
        </w:rPr>
      </w:pPr>
      <w:r w:rsidRPr="00FD2121">
        <w:rPr>
          <w:rFonts w:ascii="Arial" w:hAnsi="Arial" w:cs="Arial"/>
          <w:szCs w:val="24"/>
        </w:rPr>
        <w:t xml:space="preserve">Guinevere </w:t>
      </w:r>
      <w:proofErr w:type="spellStart"/>
      <w:r w:rsidRPr="00FD2121">
        <w:rPr>
          <w:rFonts w:ascii="Arial" w:hAnsi="Arial" w:cs="Arial"/>
          <w:szCs w:val="24"/>
        </w:rPr>
        <w:t>Fredriksen</w:t>
      </w:r>
      <w:proofErr w:type="spellEnd"/>
      <w:r w:rsidRPr="00FD2121">
        <w:rPr>
          <w:rFonts w:ascii="Arial" w:hAnsi="Arial" w:cs="Arial"/>
          <w:szCs w:val="24"/>
        </w:rPr>
        <w:t>, Research Support Specialist, EEB, gf44@cornell.edu</w:t>
      </w:r>
    </w:p>
    <w:p w:rsidR="00FD2121" w:rsidRPr="008725A7" w:rsidRDefault="00FD2121" w:rsidP="00FD2121">
      <w:pPr>
        <w:spacing w:line="360" w:lineRule="auto"/>
        <w:ind w:left="360" w:hanging="360"/>
        <w:rPr>
          <w:rFonts w:ascii="Arial" w:hAnsi="Arial" w:cs="Arial"/>
          <w:szCs w:val="24"/>
        </w:rPr>
      </w:pPr>
      <w:proofErr w:type="spellStart"/>
      <w:r w:rsidRPr="00FD2121">
        <w:rPr>
          <w:rFonts w:ascii="Arial" w:hAnsi="Arial" w:cs="Arial"/>
          <w:szCs w:val="24"/>
        </w:rPr>
        <w:t>Moustafa</w:t>
      </w:r>
      <w:proofErr w:type="spellEnd"/>
      <w:r w:rsidRPr="00FD2121">
        <w:rPr>
          <w:rFonts w:ascii="Arial" w:hAnsi="Arial" w:cs="Arial"/>
          <w:szCs w:val="24"/>
        </w:rPr>
        <w:t xml:space="preserve"> Abu </w:t>
      </w:r>
      <w:proofErr w:type="spellStart"/>
      <w:r w:rsidRPr="00FD2121">
        <w:rPr>
          <w:rFonts w:ascii="Arial" w:hAnsi="Arial" w:cs="Arial"/>
          <w:szCs w:val="24"/>
        </w:rPr>
        <w:t>Areda</w:t>
      </w:r>
      <w:proofErr w:type="spellEnd"/>
      <w:r w:rsidRPr="00FD2121">
        <w:rPr>
          <w:rFonts w:ascii="Arial" w:hAnsi="Arial" w:cs="Arial"/>
          <w:szCs w:val="24"/>
        </w:rPr>
        <w:t>, BS 2012, Cornell University, EEB, mma75@cornell.edu</w:t>
      </w:r>
    </w:p>
    <w:p w:rsidR="008725A7" w:rsidRPr="008725A7" w:rsidRDefault="008725A7" w:rsidP="00D75D73">
      <w:pPr>
        <w:spacing w:line="360" w:lineRule="auto"/>
        <w:ind w:left="360" w:hanging="360"/>
        <w:rPr>
          <w:rFonts w:ascii="Arial" w:hAnsi="Arial" w:cs="Arial"/>
          <w:b/>
          <w:i/>
          <w:szCs w:val="24"/>
        </w:rPr>
      </w:pPr>
      <w:proofErr w:type="spellStart"/>
      <w:r w:rsidRPr="008725A7">
        <w:rPr>
          <w:rFonts w:ascii="Arial" w:hAnsi="Arial" w:cs="Arial"/>
          <w:b/>
          <w:i/>
          <w:szCs w:val="24"/>
        </w:rPr>
        <w:t>Modelling</w:t>
      </w:r>
      <w:proofErr w:type="spellEnd"/>
      <w:r w:rsidRPr="008725A7">
        <w:rPr>
          <w:rFonts w:ascii="Arial" w:hAnsi="Arial" w:cs="Arial"/>
          <w:b/>
          <w:i/>
          <w:szCs w:val="24"/>
        </w:rPr>
        <w:t>, Multiple Element Limitation (MEL) model</w:t>
      </w:r>
    </w:p>
    <w:p w:rsidR="0060196E" w:rsidRDefault="008725A7">
      <w:pPr>
        <w:rPr>
          <w:rFonts w:ascii="Arial" w:hAnsi="Arial" w:cs="Arial"/>
          <w:b/>
          <w:szCs w:val="24"/>
        </w:rPr>
      </w:pPr>
      <w:r w:rsidRPr="008725A7">
        <w:rPr>
          <w:rFonts w:ascii="Arial" w:hAnsi="Arial" w:cs="Arial"/>
          <w:szCs w:val="24"/>
        </w:rPr>
        <w:t>R. Quinn Thomas, PhD candidate, Cornell University, EEB, rqt2@cornell.edu</w:t>
      </w:r>
      <w:r w:rsidR="0060196E">
        <w:rPr>
          <w:rFonts w:ascii="Arial" w:hAnsi="Arial" w:cs="Arial"/>
          <w:b/>
          <w:szCs w:val="24"/>
        </w:rPr>
        <w:br w:type="page"/>
      </w:r>
    </w:p>
    <w:p w:rsidR="00DE457A" w:rsidRPr="008725A7" w:rsidRDefault="00D75D73" w:rsidP="00E60292">
      <w:pPr>
        <w:jc w:val="center"/>
        <w:rPr>
          <w:rFonts w:ascii="Arial" w:hAnsi="Arial" w:cs="Arial"/>
          <w:szCs w:val="24"/>
        </w:rPr>
      </w:pPr>
      <w:r>
        <w:rPr>
          <w:rFonts w:ascii="Arial" w:hAnsi="Arial" w:cs="Arial"/>
          <w:b/>
          <w:szCs w:val="24"/>
        </w:rPr>
        <w:lastRenderedPageBreak/>
        <w:t>Project Activities and Findings</w:t>
      </w:r>
    </w:p>
    <w:p w:rsidR="00E60292" w:rsidRPr="008725A7" w:rsidRDefault="00E60292" w:rsidP="00E60292">
      <w:pPr>
        <w:rPr>
          <w:rFonts w:ascii="Arial" w:hAnsi="Arial" w:cs="Arial"/>
          <w:szCs w:val="24"/>
        </w:rPr>
      </w:pPr>
    </w:p>
    <w:p w:rsidR="00D75D73" w:rsidRPr="00991454" w:rsidRDefault="00E60292" w:rsidP="00991454">
      <w:pPr>
        <w:spacing w:line="360" w:lineRule="auto"/>
        <w:rPr>
          <w:rFonts w:ascii="Arial" w:hAnsi="Arial" w:cs="Arial"/>
          <w:sz w:val="22"/>
        </w:rPr>
      </w:pPr>
      <w:r w:rsidRPr="008725A7">
        <w:rPr>
          <w:rFonts w:ascii="Arial" w:hAnsi="Arial" w:cs="Arial"/>
          <w:szCs w:val="24"/>
        </w:rPr>
        <w:tab/>
      </w:r>
      <w:r w:rsidRPr="00991454">
        <w:rPr>
          <w:rFonts w:ascii="Arial" w:hAnsi="Arial" w:cs="Arial"/>
          <w:sz w:val="22"/>
        </w:rPr>
        <w:t>O</w:t>
      </w:r>
      <w:r w:rsidR="009E02F2" w:rsidRPr="00991454">
        <w:rPr>
          <w:rFonts w:ascii="Arial" w:hAnsi="Arial" w:cs="Arial"/>
          <w:sz w:val="22"/>
        </w:rPr>
        <w:t>ur efforts during the initial phase</w:t>
      </w:r>
      <w:r w:rsidRPr="00991454">
        <w:rPr>
          <w:rFonts w:ascii="Arial" w:hAnsi="Arial" w:cs="Arial"/>
          <w:sz w:val="22"/>
        </w:rPr>
        <w:t xml:space="preserve"> of the project were directed towards site characterization prior to the initiatio</w:t>
      </w:r>
      <w:r w:rsidR="00D75D73" w:rsidRPr="00991454">
        <w:rPr>
          <w:rFonts w:ascii="Arial" w:hAnsi="Arial" w:cs="Arial"/>
          <w:sz w:val="22"/>
        </w:rPr>
        <w:t xml:space="preserve">n of treatments in spring 2011, including characterization of fine roots, soil respiration, and soil C and N stocks. </w:t>
      </w:r>
      <w:r w:rsidR="00761CBB">
        <w:rPr>
          <w:rFonts w:ascii="Arial" w:hAnsi="Arial" w:cs="Arial"/>
          <w:sz w:val="22"/>
        </w:rPr>
        <w:t>Most</w:t>
      </w:r>
      <w:r w:rsidR="0077383E">
        <w:rPr>
          <w:rFonts w:ascii="Arial" w:hAnsi="Arial" w:cs="Arial"/>
          <w:sz w:val="22"/>
        </w:rPr>
        <w:t xml:space="preserve"> of financial support for these activities was received in year 1, with modest support in year 2 for continued sample processing. </w:t>
      </w:r>
    </w:p>
    <w:p w:rsidR="00E60292" w:rsidRPr="00991454" w:rsidRDefault="00CF6E3F" w:rsidP="00991454">
      <w:pPr>
        <w:spacing w:line="360" w:lineRule="auto"/>
        <w:ind w:firstLine="720"/>
        <w:rPr>
          <w:rFonts w:ascii="Arial" w:hAnsi="Arial" w:cs="Arial"/>
          <w:sz w:val="22"/>
        </w:rPr>
      </w:pPr>
      <w:r w:rsidRPr="00991454">
        <w:rPr>
          <w:rFonts w:ascii="Arial" w:hAnsi="Arial" w:cs="Arial"/>
          <w:sz w:val="22"/>
        </w:rPr>
        <w:t xml:space="preserve">During 2011 </w:t>
      </w:r>
      <w:r w:rsidR="0077383E">
        <w:rPr>
          <w:rFonts w:ascii="Arial" w:hAnsi="Arial" w:cs="Arial"/>
          <w:sz w:val="22"/>
        </w:rPr>
        <w:t xml:space="preserve">and early 2012 </w:t>
      </w:r>
      <w:r w:rsidR="00D75D73" w:rsidRPr="00991454">
        <w:rPr>
          <w:rFonts w:ascii="Arial" w:hAnsi="Arial" w:cs="Arial"/>
          <w:sz w:val="22"/>
        </w:rPr>
        <w:t>Fahey et al.</w:t>
      </w:r>
      <w:r w:rsidR="00E60292" w:rsidRPr="00991454">
        <w:rPr>
          <w:rFonts w:ascii="Arial" w:hAnsi="Arial" w:cs="Arial"/>
          <w:sz w:val="22"/>
        </w:rPr>
        <w:t xml:space="preserve"> w</w:t>
      </w:r>
      <w:r w:rsidRPr="00991454">
        <w:rPr>
          <w:rFonts w:ascii="Arial" w:hAnsi="Arial" w:cs="Arial"/>
          <w:sz w:val="22"/>
        </w:rPr>
        <w:t>orked with collaborators to complete analysis of pre-treatment data on</w:t>
      </w:r>
      <w:r w:rsidR="00E60292" w:rsidRPr="00991454">
        <w:rPr>
          <w:rFonts w:ascii="Arial" w:hAnsi="Arial" w:cs="Arial"/>
          <w:sz w:val="22"/>
        </w:rPr>
        <w:t xml:space="preserve"> fine root biomass (FRB) in the upper 20 cm of soil in 52 experimental plots across the thirteen research sites.    As of this writing FRB ana</w:t>
      </w:r>
      <w:r w:rsidRPr="00991454">
        <w:rPr>
          <w:rFonts w:ascii="Arial" w:hAnsi="Arial" w:cs="Arial"/>
          <w:sz w:val="22"/>
        </w:rPr>
        <w:t>lysis has been completed for ten of the thirteen sites (40</w:t>
      </w:r>
      <w:r w:rsidR="00E60292" w:rsidRPr="00991454">
        <w:rPr>
          <w:rFonts w:ascii="Arial" w:hAnsi="Arial" w:cs="Arial"/>
          <w:sz w:val="22"/>
        </w:rPr>
        <w:t xml:space="preserve"> plots</w:t>
      </w:r>
      <w:r w:rsidR="009E02F2" w:rsidRPr="00991454">
        <w:rPr>
          <w:rFonts w:ascii="Arial" w:hAnsi="Arial" w:cs="Arial"/>
          <w:sz w:val="22"/>
        </w:rPr>
        <w:t>, 400 soil cores</w:t>
      </w:r>
      <w:r w:rsidRPr="00991454">
        <w:rPr>
          <w:rFonts w:ascii="Arial" w:hAnsi="Arial" w:cs="Arial"/>
          <w:sz w:val="22"/>
        </w:rPr>
        <w:t>; see Table 1</w:t>
      </w:r>
      <w:r w:rsidR="00E60292" w:rsidRPr="00991454">
        <w:rPr>
          <w:rFonts w:ascii="Arial" w:hAnsi="Arial" w:cs="Arial"/>
          <w:sz w:val="22"/>
        </w:rPr>
        <w:t>).  Not surprisingly, FRB is much lower in young forests (30-35 yr) than mature stands and slightly lower in more fertile than infertile sites.</w:t>
      </w:r>
      <w:r w:rsidRPr="00991454">
        <w:rPr>
          <w:rFonts w:ascii="Arial" w:hAnsi="Arial" w:cs="Arial"/>
          <w:sz w:val="22"/>
        </w:rPr>
        <w:t xml:space="preserve"> We collaborated on the analysis of pre-treatment data for total soil respiration (TSR) and total belowground carbon allocation across the sites. For example, we developed models based on soil temperature to explain seasonal variation in TSR across the three study areas (Fig. 1). These relationships will be compared with post-treatment sampling in coming years to evaluate fertilization effects.</w:t>
      </w:r>
    </w:p>
    <w:p w:rsidR="00991454" w:rsidRPr="00991454" w:rsidRDefault="00991454" w:rsidP="00991454">
      <w:pPr>
        <w:spacing w:after="200" w:line="276" w:lineRule="auto"/>
        <w:rPr>
          <w:rFonts w:ascii="Calibri" w:eastAsia="Calibri" w:hAnsi="Calibri" w:cs="Times New Roman"/>
          <w:sz w:val="22"/>
        </w:rPr>
      </w:pPr>
      <w:r w:rsidRPr="00991454">
        <w:rPr>
          <w:rFonts w:ascii="Calibri" w:eastAsia="Calibri" w:hAnsi="Calibri" w:cs="Times New Roman"/>
          <w:sz w:val="22"/>
        </w:rPr>
        <w:t>Table 1.  Summary of pre-treatment data for mid-aged (30-35 yr) and old (&gt; 80 yr) forest stands at three study areas:  fine root biomass, leaf litterfall, total soil respiration and estimated TBCA.</w:t>
      </w:r>
    </w:p>
    <w:tbl>
      <w:tblPr>
        <w:tblW w:w="9740" w:type="dxa"/>
        <w:tblCellMar>
          <w:left w:w="0" w:type="dxa"/>
          <w:right w:w="0" w:type="dxa"/>
        </w:tblCellMar>
        <w:tblLook w:val="04A0" w:firstRow="1" w:lastRow="0" w:firstColumn="1" w:lastColumn="0" w:noHBand="0" w:noVBand="1"/>
      </w:tblPr>
      <w:tblGrid>
        <w:gridCol w:w="1120"/>
        <w:gridCol w:w="900"/>
        <w:gridCol w:w="1120"/>
        <w:gridCol w:w="960"/>
        <w:gridCol w:w="960"/>
        <w:gridCol w:w="1560"/>
        <w:gridCol w:w="1560"/>
        <w:gridCol w:w="1560"/>
      </w:tblGrid>
      <w:tr w:rsidR="00991454" w:rsidRPr="00991454" w:rsidTr="00F67D8C">
        <w:trPr>
          <w:trHeight w:val="516"/>
        </w:trPr>
        <w:tc>
          <w:tcPr>
            <w:tcW w:w="112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Forest age</w:t>
            </w:r>
          </w:p>
        </w:tc>
        <w:tc>
          <w:tcPr>
            <w:tcW w:w="90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Site</w:t>
            </w:r>
          </w:p>
        </w:tc>
        <w:tc>
          <w:tcPr>
            <w:tcW w:w="3040"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Fine root biomass (g m</w:t>
            </w:r>
            <w:r w:rsidRPr="00991454">
              <w:rPr>
                <w:rFonts w:ascii="Calibri" w:eastAsia="Times New Roman" w:hAnsi="Calibri" w:cs="Calibri"/>
                <w:b/>
                <w:bCs/>
                <w:color w:val="FFFFFF"/>
                <w:position w:val="5"/>
                <w:sz w:val="16"/>
                <w:szCs w:val="16"/>
                <w:vertAlign w:val="superscript"/>
              </w:rPr>
              <w:t>-2</w:t>
            </w:r>
            <w:r w:rsidRPr="00991454">
              <w:rPr>
                <w:rFonts w:ascii="Calibri" w:eastAsia="Times New Roman" w:hAnsi="Calibri" w:cs="Calibri"/>
                <w:b/>
                <w:bCs/>
                <w:color w:val="FFFFFF"/>
                <w:sz w:val="16"/>
                <w:szCs w:val="16"/>
              </w:rPr>
              <w:t>)</w:t>
            </w:r>
          </w:p>
        </w:tc>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F78BC" w:rsidRPr="008571C4" w:rsidRDefault="00991454" w:rsidP="00991454">
            <w:pPr>
              <w:jc w:val="center"/>
              <w:rPr>
                <w:rFonts w:ascii="Arial" w:eastAsia="Times New Roman" w:hAnsi="Arial" w:cs="Arial"/>
                <w:sz w:val="36"/>
                <w:szCs w:val="36"/>
              </w:rPr>
            </w:pPr>
            <w:r w:rsidRPr="008571C4">
              <w:rPr>
                <w:rFonts w:ascii="Calibri" w:eastAsia="Times New Roman" w:hAnsi="Calibri" w:cs="Calibri"/>
                <w:b/>
                <w:bCs/>
                <w:color w:val="FFFFFF"/>
                <w:sz w:val="16"/>
                <w:szCs w:val="16"/>
              </w:rPr>
              <w:t>Leaf litter (gC m</w:t>
            </w:r>
            <w:r w:rsidRPr="008571C4">
              <w:rPr>
                <w:rFonts w:ascii="Calibri" w:eastAsia="Times New Roman" w:hAnsi="Calibri" w:cs="Calibri"/>
                <w:b/>
                <w:bCs/>
                <w:color w:val="FFFFFF"/>
                <w:position w:val="5"/>
                <w:sz w:val="16"/>
                <w:szCs w:val="16"/>
                <w:vertAlign w:val="superscript"/>
              </w:rPr>
              <w:t>-2</w:t>
            </w:r>
            <w:r w:rsidRPr="008571C4">
              <w:rPr>
                <w:rFonts w:ascii="Calibri" w:eastAsia="Times New Roman" w:hAnsi="Calibri" w:cs="Calibri"/>
                <w:b/>
                <w:bCs/>
                <w:color w:val="FFFFFF"/>
                <w:sz w:val="16"/>
                <w:szCs w:val="16"/>
              </w:rPr>
              <w:t xml:space="preserve">) </w:t>
            </w:r>
          </w:p>
        </w:tc>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hideMark/>
          </w:tcPr>
          <w:p w:rsidR="008571C4" w:rsidRDefault="008571C4" w:rsidP="00991454">
            <w:pPr>
              <w:jc w:val="center"/>
              <w:rPr>
                <w:rFonts w:ascii="Calibri" w:eastAsia="Times New Roman" w:hAnsi="Calibri" w:cs="Calibri"/>
                <w:b/>
                <w:bCs/>
                <w:color w:val="FFFFFF"/>
                <w:sz w:val="16"/>
                <w:szCs w:val="16"/>
              </w:rPr>
            </w:pPr>
          </w:p>
          <w:p w:rsidR="008571C4" w:rsidRDefault="008571C4" w:rsidP="00991454">
            <w:pPr>
              <w:jc w:val="center"/>
              <w:rPr>
                <w:rFonts w:ascii="Calibri" w:eastAsia="Times New Roman" w:hAnsi="Calibri" w:cs="Calibri"/>
                <w:b/>
                <w:bCs/>
                <w:color w:val="FFFFFF"/>
                <w:sz w:val="16"/>
                <w:szCs w:val="16"/>
              </w:rPr>
            </w:pPr>
          </w:p>
          <w:p w:rsidR="006F78BC" w:rsidRPr="008571C4" w:rsidRDefault="00991454" w:rsidP="00991454">
            <w:pPr>
              <w:jc w:val="center"/>
              <w:rPr>
                <w:rFonts w:ascii="Arial" w:eastAsia="Times New Roman" w:hAnsi="Arial" w:cs="Arial"/>
                <w:sz w:val="36"/>
                <w:szCs w:val="36"/>
              </w:rPr>
            </w:pPr>
            <w:r w:rsidRPr="008571C4">
              <w:rPr>
                <w:rFonts w:ascii="Calibri" w:eastAsia="Times New Roman" w:hAnsi="Calibri" w:cs="Calibri"/>
                <w:b/>
                <w:bCs/>
                <w:color w:val="FFFFFF"/>
                <w:sz w:val="16"/>
                <w:szCs w:val="16"/>
              </w:rPr>
              <w:t>Total soil respiration (</w:t>
            </w:r>
            <w:proofErr w:type="spellStart"/>
            <w:r w:rsidRPr="008571C4">
              <w:rPr>
                <w:rFonts w:ascii="Calibri" w:eastAsia="Times New Roman" w:hAnsi="Calibri" w:cs="Calibri"/>
                <w:b/>
                <w:bCs/>
                <w:color w:val="FFFFFF"/>
                <w:sz w:val="16"/>
                <w:szCs w:val="16"/>
              </w:rPr>
              <w:t>gC</w:t>
            </w:r>
            <w:proofErr w:type="spellEnd"/>
            <w:r w:rsidRPr="008571C4">
              <w:rPr>
                <w:rFonts w:ascii="Calibri" w:eastAsia="Times New Roman" w:hAnsi="Calibri" w:cs="Calibri"/>
                <w:b/>
                <w:bCs/>
                <w:color w:val="FFFFFF"/>
                <w:sz w:val="16"/>
                <w:szCs w:val="16"/>
              </w:rPr>
              <w:t xml:space="preserve"> m</w:t>
            </w:r>
            <w:r w:rsidRPr="008571C4">
              <w:rPr>
                <w:rFonts w:ascii="Calibri" w:eastAsia="Times New Roman" w:hAnsi="Calibri" w:cs="Calibri"/>
                <w:b/>
                <w:bCs/>
                <w:color w:val="FFFFFF"/>
                <w:position w:val="5"/>
                <w:sz w:val="16"/>
                <w:szCs w:val="16"/>
                <w:vertAlign w:val="superscript"/>
              </w:rPr>
              <w:t>-2</w:t>
            </w:r>
            <w:r w:rsidRPr="008571C4">
              <w:rPr>
                <w:rFonts w:ascii="Calibri" w:eastAsia="Times New Roman" w:hAnsi="Calibri" w:cs="Calibri"/>
                <w:b/>
                <w:bCs/>
                <w:color w:val="FFFFFF"/>
                <w:sz w:val="16"/>
                <w:szCs w:val="16"/>
              </w:rPr>
              <w:t>)</w:t>
            </w:r>
          </w:p>
        </w:tc>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991454"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 xml:space="preserve">BCA </w:t>
            </w:r>
          </w:p>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(gC m</w:t>
            </w:r>
            <w:r w:rsidRPr="00991454">
              <w:rPr>
                <w:rFonts w:ascii="Calibri" w:eastAsia="Times New Roman" w:hAnsi="Calibri" w:cs="Calibri"/>
                <w:b/>
                <w:bCs/>
                <w:color w:val="FFFFFF"/>
                <w:position w:val="5"/>
                <w:sz w:val="16"/>
                <w:szCs w:val="16"/>
                <w:vertAlign w:val="superscript"/>
              </w:rPr>
              <w:t>-2</w:t>
            </w:r>
            <w:r w:rsidRPr="00991454">
              <w:rPr>
                <w:rFonts w:ascii="Calibri" w:eastAsia="Times New Roman" w:hAnsi="Calibri" w:cs="Calibri"/>
                <w:b/>
                <w:bCs/>
                <w:color w:val="FFFFFF"/>
                <w:sz w:val="16"/>
                <w:szCs w:val="16"/>
              </w:rPr>
              <w:t>)</w:t>
            </w:r>
          </w:p>
        </w:tc>
      </w:tr>
      <w:tr w:rsidR="00991454" w:rsidRPr="00991454" w:rsidTr="00FD2121">
        <w:trPr>
          <w:trHeight w:val="79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991454" w:rsidRPr="00991454" w:rsidRDefault="00991454" w:rsidP="00991454">
            <w:pPr>
              <w:rPr>
                <w:rFonts w:ascii="Arial" w:eastAsia="Times New Roman" w:hAnsi="Arial" w:cs="Arial"/>
                <w:sz w:val="36"/>
                <w:szCs w:val="36"/>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991454" w:rsidRPr="00991454" w:rsidRDefault="00991454" w:rsidP="00991454">
            <w:pPr>
              <w:rPr>
                <w:rFonts w:ascii="Arial" w:eastAsia="Times New Roman" w:hAnsi="Arial" w:cs="Arial"/>
                <w:sz w:val="36"/>
                <w:szCs w:val="36"/>
              </w:rPr>
            </w:pPr>
          </w:p>
        </w:tc>
        <w:tc>
          <w:tcPr>
            <w:tcW w:w="112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0 – 1 mm</w:t>
            </w:r>
          </w:p>
        </w:tc>
        <w:tc>
          <w:tcPr>
            <w:tcW w:w="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1 – 5 mm</w:t>
            </w:r>
          </w:p>
        </w:tc>
        <w:tc>
          <w:tcPr>
            <w:tcW w:w="960" w:type="dxa"/>
            <w:tcBorders>
              <w:top w:val="single" w:sz="24" w:space="0" w:color="FFFFFF"/>
              <w:left w:val="single" w:sz="8" w:space="0" w:color="FFFFFF"/>
              <w:bottom w:val="single" w:sz="8" w:space="0" w:color="FFFFFF"/>
              <w:right w:val="single" w:sz="24"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0 – 5 mm</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991454" w:rsidRPr="00991454" w:rsidRDefault="00991454" w:rsidP="00991454">
            <w:pPr>
              <w:rPr>
                <w:rFonts w:ascii="Arial" w:eastAsia="Times New Roman" w:hAnsi="Arial" w:cs="Arial"/>
                <w:sz w:val="36"/>
                <w:szCs w:val="36"/>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991454" w:rsidRPr="00991454" w:rsidRDefault="00991454" w:rsidP="00991454">
            <w:pPr>
              <w:rPr>
                <w:rFonts w:ascii="Arial" w:eastAsia="Times New Roman" w:hAnsi="Arial" w:cs="Arial"/>
                <w:sz w:val="36"/>
                <w:szCs w:val="36"/>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991454" w:rsidRPr="00991454" w:rsidRDefault="00991454" w:rsidP="00991454">
            <w:pPr>
              <w:rPr>
                <w:rFonts w:ascii="Arial" w:eastAsia="Times New Roman" w:hAnsi="Arial" w:cs="Arial"/>
                <w:sz w:val="36"/>
                <w:szCs w:val="36"/>
              </w:rPr>
            </w:pPr>
          </w:p>
        </w:tc>
      </w:tr>
      <w:tr w:rsidR="00991454" w:rsidRPr="00991454" w:rsidTr="00F67D8C">
        <w:trPr>
          <w:trHeight w:val="744"/>
        </w:trPr>
        <w:tc>
          <w:tcPr>
            <w:tcW w:w="112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 </w:t>
            </w:r>
          </w:p>
        </w:tc>
        <w:tc>
          <w:tcPr>
            <w:tcW w:w="90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BEF</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kern w:val="2"/>
                <w:sz w:val="16"/>
                <w:szCs w:val="16"/>
              </w:rPr>
              <w:t>277 ± 20</w:t>
            </w:r>
          </w:p>
        </w:tc>
        <w:tc>
          <w:tcPr>
            <w:tcW w:w="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wordWrap w:val="0"/>
              <w:jc w:val="center"/>
              <w:rPr>
                <w:rFonts w:ascii="Arial" w:eastAsia="Times New Roman" w:hAnsi="Arial" w:cs="Arial"/>
                <w:sz w:val="36"/>
                <w:szCs w:val="36"/>
              </w:rPr>
            </w:pPr>
            <w:r w:rsidRPr="00991454">
              <w:rPr>
                <w:rFonts w:ascii="Calibri" w:eastAsia="Times New Roman" w:hAnsi="Calibri" w:cs="Calibri"/>
                <w:color w:val="000000"/>
                <w:kern w:val="2"/>
                <w:sz w:val="16"/>
                <w:szCs w:val="16"/>
              </w:rPr>
              <w:t>211 ± 22</w:t>
            </w:r>
          </w:p>
        </w:tc>
        <w:tc>
          <w:tcPr>
            <w:tcW w:w="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wordWrap w:val="0"/>
              <w:jc w:val="center"/>
              <w:rPr>
                <w:rFonts w:ascii="Arial" w:eastAsia="Times New Roman" w:hAnsi="Arial" w:cs="Arial"/>
                <w:sz w:val="36"/>
                <w:szCs w:val="36"/>
              </w:rPr>
            </w:pPr>
            <w:r w:rsidRPr="00991454">
              <w:rPr>
                <w:rFonts w:ascii="Calibri" w:eastAsia="Times New Roman" w:hAnsi="Calibri" w:cs="Calibri"/>
                <w:color w:val="000000"/>
                <w:kern w:val="2"/>
                <w:sz w:val="16"/>
                <w:szCs w:val="16"/>
              </w:rPr>
              <w:t>488 ± 30</w:t>
            </w:r>
          </w:p>
        </w:tc>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wordWrap w:val="0"/>
              <w:jc w:val="center"/>
              <w:rPr>
                <w:rFonts w:ascii="Arial" w:eastAsia="Times New Roman" w:hAnsi="Arial" w:cs="Arial"/>
                <w:sz w:val="36"/>
                <w:szCs w:val="36"/>
              </w:rPr>
            </w:pPr>
            <w:r w:rsidRPr="00991454">
              <w:rPr>
                <w:rFonts w:ascii="Calibri" w:eastAsia="Times New Roman" w:hAnsi="Calibri" w:cs="Calibri"/>
                <w:color w:val="000000"/>
                <w:kern w:val="2"/>
                <w:sz w:val="16"/>
                <w:szCs w:val="16"/>
              </w:rPr>
              <w:t>143 ± 6</w:t>
            </w:r>
          </w:p>
        </w:tc>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807 </w:t>
            </w:r>
            <w:r w:rsidRPr="00991454">
              <w:rPr>
                <w:rFonts w:ascii="Calibri" w:eastAsia="Times New Roman" w:hAnsi="Arial" w:cs="Arial"/>
                <w:color w:val="000000"/>
                <w:kern w:val="2"/>
                <w:sz w:val="16"/>
                <w:szCs w:val="16"/>
              </w:rPr>
              <w:t>±</w:t>
            </w:r>
            <w:r w:rsidRPr="00991454">
              <w:rPr>
                <w:rFonts w:ascii="Calibri" w:eastAsia="Times New Roman" w:hAnsi="Calibri" w:cs="Calibri"/>
                <w:color w:val="000000"/>
                <w:sz w:val="16"/>
                <w:szCs w:val="16"/>
              </w:rPr>
              <w:t xml:space="preserve"> 40</w:t>
            </w:r>
          </w:p>
        </w:tc>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664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20</w:t>
            </w:r>
          </w:p>
        </w:tc>
      </w:tr>
      <w:tr w:rsidR="00991454" w:rsidRPr="00991454" w:rsidTr="00F67D8C">
        <w:trPr>
          <w:trHeight w:val="744"/>
        </w:trPr>
        <w:tc>
          <w:tcPr>
            <w:tcW w:w="11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Mid-aged</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HBEF</w:t>
            </w:r>
          </w:p>
        </w:tc>
        <w:tc>
          <w:tcPr>
            <w:tcW w:w="11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270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12</w:t>
            </w:r>
          </w:p>
        </w:tc>
        <w:tc>
          <w:tcPr>
            <w:tcW w:w="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wordWrap w:val="0"/>
              <w:jc w:val="center"/>
              <w:rPr>
                <w:rFonts w:ascii="Arial" w:eastAsia="Times New Roman" w:hAnsi="Arial" w:cs="Arial"/>
                <w:sz w:val="36"/>
                <w:szCs w:val="36"/>
              </w:rPr>
            </w:pPr>
            <w:r w:rsidRPr="00991454">
              <w:rPr>
                <w:rFonts w:ascii="Calibri" w:eastAsia="Times New Roman" w:hAnsi="Calibri" w:cs="Calibri"/>
                <w:color w:val="000000"/>
                <w:kern w:val="2"/>
                <w:sz w:val="16"/>
                <w:szCs w:val="16"/>
              </w:rPr>
              <w:t>181 ± 21</w:t>
            </w:r>
          </w:p>
        </w:tc>
        <w:tc>
          <w:tcPr>
            <w:tcW w:w="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wordWrap w:val="0"/>
              <w:jc w:val="center"/>
              <w:rPr>
                <w:rFonts w:ascii="Arial" w:eastAsia="Times New Roman" w:hAnsi="Arial" w:cs="Arial"/>
                <w:sz w:val="36"/>
                <w:szCs w:val="36"/>
              </w:rPr>
            </w:pPr>
            <w:r w:rsidRPr="00991454">
              <w:rPr>
                <w:rFonts w:ascii="Calibri" w:eastAsia="Times New Roman" w:hAnsi="Calibri" w:cs="Calibri"/>
                <w:color w:val="000000"/>
                <w:kern w:val="2"/>
                <w:sz w:val="16"/>
                <w:szCs w:val="16"/>
              </w:rPr>
              <w:t>451 ± 34</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wordWrap w:val="0"/>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181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21</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868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16</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686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29</w:t>
            </w:r>
          </w:p>
        </w:tc>
      </w:tr>
      <w:tr w:rsidR="00991454" w:rsidRPr="00991454" w:rsidTr="00F67D8C">
        <w:trPr>
          <w:trHeight w:val="744"/>
        </w:trPr>
        <w:tc>
          <w:tcPr>
            <w:tcW w:w="11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 </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JB</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195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24</w:t>
            </w:r>
          </w:p>
        </w:tc>
        <w:tc>
          <w:tcPr>
            <w:tcW w:w="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248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20</w:t>
            </w:r>
          </w:p>
        </w:tc>
        <w:tc>
          <w:tcPr>
            <w:tcW w:w="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443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28</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122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9</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735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26</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613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60</w:t>
            </w:r>
          </w:p>
        </w:tc>
      </w:tr>
      <w:tr w:rsidR="00991454" w:rsidRPr="00991454" w:rsidTr="00F67D8C">
        <w:trPr>
          <w:trHeight w:val="744"/>
        </w:trPr>
        <w:tc>
          <w:tcPr>
            <w:tcW w:w="11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 </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BEF</w:t>
            </w:r>
          </w:p>
        </w:tc>
        <w:tc>
          <w:tcPr>
            <w:tcW w:w="11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463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38</w:t>
            </w:r>
          </w:p>
        </w:tc>
        <w:tc>
          <w:tcPr>
            <w:tcW w:w="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335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35</w:t>
            </w:r>
          </w:p>
        </w:tc>
        <w:tc>
          <w:tcPr>
            <w:tcW w:w="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798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33</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kern w:val="2"/>
                <w:sz w:val="16"/>
                <w:szCs w:val="16"/>
              </w:rPr>
              <w:t>140 ± 4</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938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48</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798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54</w:t>
            </w:r>
          </w:p>
        </w:tc>
      </w:tr>
      <w:tr w:rsidR="00991454" w:rsidRPr="00991454" w:rsidTr="00F67D8C">
        <w:trPr>
          <w:trHeight w:val="744"/>
        </w:trPr>
        <w:tc>
          <w:tcPr>
            <w:tcW w:w="11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Old</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HBEF</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406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19</w:t>
            </w:r>
          </w:p>
        </w:tc>
        <w:tc>
          <w:tcPr>
            <w:tcW w:w="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377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20</w:t>
            </w:r>
          </w:p>
        </w:tc>
        <w:tc>
          <w:tcPr>
            <w:tcW w:w="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783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53</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kern w:val="2"/>
                <w:sz w:val="16"/>
                <w:szCs w:val="16"/>
              </w:rPr>
              <w:t>152 ± 0.3</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924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33</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772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16</w:t>
            </w:r>
          </w:p>
        </w:tc>
      </w:tr>
      <w:tr w:rsidR="00991454" w:rsidRPr="00991454" w:rsidTr="00F67D8C">
        <w:trPr>
          <w:trHeight w:val="778"/>
        </w:trPr>
        <w:tc>
          <w:tcPr>
            <w:tcW w:w="11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b/>
                <w:bCs/>
                <w:color w:val="FFFFFF"/>
                <w:sz w:val="16"/>
                <w:szCs w:val="16"/>
              </w:rPr>
              <w:t> </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JB</w:t>
            </w:r>
          </w:p>
        </w:tc>
        <w:tc>
          <w:tcPr>
            <w:tcW w:w="11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432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16</w:t>
            </w:r>
          </w:p>
        </w:tc>
        <w:tc>
          <w:tcPr>
            <w:tcW w:w="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273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12</w:t>
            </w:r>
          </w:p>
        </w:tc>
        <w:tc>
          <w:tcPr>
            <w:tcW w:w="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706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22</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148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2</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763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37</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F78BC" w:rsidRPr="00991454" w:rsidRDefault="00991454" w:rsidP="00991454">
            <w:pPr>
              <w:jc w:val="center"/>
              <w:rPr>
                <w:rFonts w:ascii="Arial" w:eastAsia="Times New Roman" w:hAnsi="Arial" w:cs="Arial"/>
                <w:sz w:val="36"/>
                <w:szCs w:val="36"/>
              </w:rPr>
            </w:pPr>
            <w:r w:rsidRPr="00991454">
              <w:rPr>
                <w:rFonts w:ascii="Calibri" w:eastAsia="Times New Roman" w:hAnsi="Calibri" w:cs="Calibri"/>
                <w:color w:val="000000"/>
                <w:sz w:val="16"/>
                <w:szCs w:val="16"/>
              </w:rPr>
              <w:t xml:space="preserve">615 </w:t>
            </w:r>
            <w:r w:rsidRPr="00991454">
              <w:rPr>
                <w:rFonts w:ascii="Calibri" w:eastAsia="Times New Roman" w:hAnsi="Arial" w:cs="Arial"/>
                <w:color w:val="000000"/>
                <w:kern w:val="2"/>
                <w:sz w:val="16"/>
                <w:szCs w:val="16"/>
              </w:rPr>
              <w:t>±</w:t>
            </w:r>
            <w:r w:rsidRPr="00991454">
              <w:rPr>
                <w:rFonts w:ascii="Calibri" w:eastAsia="Times New Roman" w:hAnsi="Arial" w:cs="Arial"/>
                <w:color w:val="000000"/>
                <w:kern w:val="2"/>
                <w:sz w:val="16"/>
                <w:szCs w:val="16"/>
              </w:rPr>
              <w:t xml:space="preserve"> 38</w:t>
            </w:r>
          </w:p>
        </w:tc>
      </w:tr>
    </w:tbl>
    <w:p w:rsidR="00991454" w:rsidRDefault="00991454" w:rsidP="00991454">
      <w:pPr>
        <w:spacing w:line="480" w:lineRule="auto"/>
        <w:rPr>
          <w:rFonts w:ascii="Arial" w:hAnsi="Arial" w:cs="Arial"/>
          <w:szCs w:val="24"/>
        </w:rPr>
      </w:pPr>
    </w:p>
    <w:p w:rsidR="00991454" w:rsidRPr="00991454" w:rsidRDefault="00991454" w:rsidP="00991454">
      <w:pPr>
        <w:spacing w:after="200" w:line="276" w:lineRule="auto"/>
        <w:jc w:val="center"/>
        <w:rPr>
          <w:rFonts w:ascii="Calibri" w:eastAsia="Calibri" w:hAnsi="Calibri" w:cs="Times New Roman"/>
          <w:b/>
          <w:sz w:val="22"/>
        </w:rPr>
      </w:pPr>
      <w:r w:rsidRPr="00991454">
        <w:rPr>
          <w:rFonts w:ascii="Calibri" w:eastAsia="Calibri" w:hAnsi="Calibri" w:cs="Times New Roman"/>
          <w:b/>
          <w:noProof/>
          <w:sz w:val="22"/>
        </w:rPr>
        <mc:AlternateContent>
          <mc:Choice Requires="wps">
            <w:drawing>
              <wp:anchor distT="0" distB="0" distL="114300" distR="114300" simplePos="0" relativeHeight="251662336" behindDoc="0" locked="0" layoutInCell="1" allowOverlap="1" wp14:anchorId="514C6AE2" wp14:editId="7BAD50B7">
                <wp:simplePos x="0" y="0"/>
                <wp:positionH relativeFrom="column">
                  <wp:posOffset>3143250</wp:posOffset>
                </wp:positionH>
                <wp:positionV relativeFrom="paragraph">
                  <wp:posOffset>-212090</wp:posOffset>
                </wp:positionV>
                <wp:extent cx="1255395" cy="307340"/>
                <wp:effectExtent l="0" t="0" r="0" b="0"/>
                <wp:wrapNone/>
                <wp:docPr id="10" name="TextBox 9"/>
                <wp:cNvGraphicFramePr/>
                <a:graphic xmlns:a="http://schemas.openxmlformats.org/drawingml/2006/main">
                  <a:graphicData uri="http://schemas.microsoft.com/office/word/2010/wordprocessingShape">
                    <wps:wsp>
                      <wps:cNvSpPr txBox="1"/>
                      <wps:spPr>
                        <a:xfrm>
                          <a:off x="0" y="0"/>
                          <a:ext cx="1255395" cy="307340"/>
                        </a:xfrm>
                        <a:prstGeom prst="rect">
                          <a:avLst/>
                        </a:prstGeom>
                        <a:noFill/>
                      </wps:spPr>
                      <wps:txbx>
                        <w:txbxContent>
                          <w:p w:rsidR="00991454" w:rsidRDefault="00991454" w:rsidP="00991454">
                            <w:pPr>
                              <w:pStyle w:val="NormalWeb"/>
                            </w:pPr>
                            <w:r>
                              <w:rPr>
                                <w:rFonts w:ascii="Calibri" w:eastAsia="+mn-ea" w:hAnsi="Calibri" w:cs="+mn-cs"/>
                                <w:color w:val="000000"/>
                                <w:kern w:val="24"/>
                                <w:sz w:val="28"/>
                                <w:szCs w:val="28"/>
                              </w:rPr>
                              <w:t>Bartlett stands</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247.5pt;margin-top:-16.7pt;width:98.85pt;height:24.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" filled="f" stroked="f">
                <v:textbox style="mso-fit-shape-to-text:t">
                  <w:txbxContent>
                    <w:p w:rsidR="00991454" w:rsidRDefault="00991454" w:rsidP="00991454">
                      <w:pPr>
                        <w:pStyle w:val="NormalWeb"/>
                      </w:pPr>
                      <w:r>
                        <w:rPr>
                          <w:rFonts w:ascii="Calibri" w:eastAsia="+mn-ea" w:hAnsi="Calibri" w:cs="+mn-cs"/>
                          <w:color w:val="000000"/>
                          <w:kern w:val="24"/>
                          <w:sz w:val="28"/>
                          <w:szCs w:val="28"/>
                        </w:rPr>
                        <w:t>Bartlett stands</w:t>
                      </w:r>
                    </w:p>
                  </w:txbxContent>
                </v:textbox>
              </v:shape>
            </w:pict>
          </mc:Fallback>
        </mc:AlternateContent>
      </w:r>
      <w:r w:rsidRPr="00991454">
        <w:rPr>
          <w:rFonts w:ascii="Calibri" w:eastAsia="Calibri" w:hAnsi="Calibri" w:cs="Times New Roman"/>
          <w:b/>
          <w:noProof/>
          <w:sz w:val="22"/>
        </w:rPr>
        <w:drawing>
          <wp:anchor distT="0" distB="0" distL="114300" distR="114300" simplePos="0" relativeHeight="251661312" behindDoc="0" locked="0" layoutInCell="1" allowOverlap="1" wp14:anchorId="42FE7CE8" wp14:editId="380AB6DC">
            <wp:simplePos x="0" y="0"/>
            <wp:positionH relativeFrom="column">
              <wp:posOffset>949325</wp:posOffset>
            </wp:positionH>
            <wp:positionV relativeFrom="paragraph">
              <wp:posOffset>-438150</wp:posOffset>
            </wp:positionV>
            <wp:extent cx="4019550" cy="2266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cstate="print">
                      <a:extLst>
                        <a:ext uri="{28A0092B-C50C-407E-A947-70E740481C1C}">
                          <a14:useLocalDpi xmlns:a14="http://schemas.microsoft.com/office/drawing/2010/main" val="0"/>
                        </a:ext>
                      </a:extLst>
                    </a:blip>
                    <a:srcRect l="5893" t="10715" b="14285"/>
                    <a:stretch>
                      <a:fillRect/>
                    </a:stretch>
                  </pic:blipFill>
                  <pic:spPr bwMode="auto">
                    <a:xfrm>
                      <a:off x="0" y="0"/>
                      <a:ext cx="4019550" cy="2266950"/>
                    </a:xfrm>
                    <a:prstGeom prst="rect">
                      <a:avLst/>
                    </a:prstGeom>
                    <a:noFill/>
                    <a:extLst/>
                  </pic:spPr>
                </pic:pic>
              </a:graphicData>
            </a:graphic>
            <wp14:sizeRelH relativeFrom="margin">
              <wp14:pctWidth>0</wp14:pctWidth>
            </wp14:sizeRelH>
            <wp14:sizeRelV relativeFrom="margin">
              <wp14:pctHeight>0</wp14:pctHeight>
            </wp14:sizeRelV>
          </wp:anchor>
        </w:drawing>
      </w: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r w:rsidRPr="00991454">
        <w:rPr>
          <w:rFonts w:ascii="Calibri" w:eastAsia="Calibri" w:hAnsi="Calibri" w:cs="Times New Roman"/>
          <w:noProof/>
          <w:sz w:val="22"/>
        </w:rPr>
        <w:drawing>
          <wp:anchor distT="0" distB="0" distL="114300" distR="114300" simplePos="0" relativeHeight="251660288" behindDoc="0" locked="0" layoutInCell="1" allowOverlap="1" wp14:anchorId="5F997095" wp14:editId="1C80EFCE">
            <wp:simplePos x="0" y="0"/>
            <wp:positionH relativeFrom="column">
              <wp:posOffset>939800</wp:posOffset>
            </wp:positionH>
            <wp:positionV relativeFrom="paragraph">
              <wp:posOffset>213360</wp:posOffset>
            </wp:positionV>
            <wp:extent cx="3933825" cy="2305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l="8417" t="11905" b="11905"/>
                    <a:stretch>
                      <a:fillRect/>
                    </a:stretch>
                  </pic:blipFill>
                  <pic:spPr bwMode="auto">
                    <a:xfrm>
                      <a:off x="0" y="0"/>
                      <a:ext cx="3933825" cy="2305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991454" w:rsidRPr="00991454" w:rsidRDefault="00991454" w:rsidP="00991454">
      <w:pPr>
        <w:spacing w:after="200" w:line="276" w:lineRule="auto"/>
        <w:jc w:val="center"/>
        <w:rPr>
          <w:rFonts w:ascii="Calibri" w:eastAsia="Calibri" w:hAnsi="Calibri" w:cs="Times New Roman"/>
          <w:sz w:val="22"/>
        </w:rPr>
      </w:pPr>
      <w:r w:rsidRPr="00991454">
        <w:rPr>
          <w:rFonts w:ascii="Calibri" w:eastAsia="Calibri" w:hAnsi="Calibri" w:cs="Times New Roman"/>
          <w:noProof/>
          <w:sz w:val="22"/>
        </w:rPr>
        <mc:AlternateContent>
          <mc:Choice Requires="wps">
            <w:drawing>
              <wp:anchor distT="0" distB="0" distL="114300" distR="114300" simplePos="0" relativeHeight="251663360" behindDoc="0" locked="0" layoutInCell="1" allowOverlap="1" wp14:anchorId="197C65FD" wp14:editId="54615E92">
                <wp:simplePos x="0" y="0"/>
                <wp:positionH relativeFrom="column">
                  <wp:posOffset>2819400</wp:posOffset>
                </wp:positionH>
                <wp:positionV relativeFrom="paragraph">
                  <wp:posOffset>112395</wp:posOffset>
                </wp:positionV>
                <wp:extent cx="1803400" cy="307340"/>
                <wp:effectExtent l="0" t="0" r="0" b="0"/>
                <wp:wrapNone/>
                <wp:docPr id="11" name="TextBox 10"/>
                <wp:cNvGraphicFramePr/>
                <a:graphic xmlns:a="http://schemas.openxmlformats.org/drawingml/2006/main">
                  <a:graphicData uri="http://schemas.microsoft.com/office/word/2010/wordprocessingShape">
                    <wps:wsp>
                      <wps:cNvSpPr txBox="1"/>
                      <wps:spPr>
                        <a:xfrm>
                          <a:off x="0" y="0"/>
                          <a:ext cx="1803400" cy="307340"/>
                        </a:xfrm>
                        <a:prstGeom prst="rect">
                          <a:avLst/>
                        </a:prstGeom>
                        <a:noFill/>
                      </wps:spPr>
                      <wps:txbx>
                        <w:txbxContent>
                          <w:p w:rsidR="00991454" w:rsidRDefault="00991454" w:rsidP="00991454">
                            <w:pPr>
                              <w:pStyle w:val="NormalWeb"/>
                            </w:pPr>
                            <w:r>
                              <w:rPr>
                                <w:rFonts w:ascii="Calibri" w:eastAsia="+mn-ea" w:hAnsi="Calibri" w:cs="+mn-cs"/>
                                <w:color w:val="000000"/>
                                <w:kern w:val="24"/>
                                <w:sz w:val="28"/>
                                <w:szCs w:val="28"/>
                              </w:rPr>
                              <w:t>Hubbard Brook stands</w:t>
                            </w:r>
                          </w:p>
                        </w:txbxContent>
                      </wps:txbx>
                      <wps:bodyPr wrap="none" rtlCol="0">
                        <a:spAutoFit/>
                      </wps:bodyPr>
                    </wps:wsp>
                  </a:graphicData>
                </a:graphic>
              </wp:anchor>
            </w:drawing>
          </mc:Choice>
          <mc:Fallback>
            <w:pict>
              <v:shape id="TextBox 10" o:spid="_x0000_s1027" type="#_x0000_t202" style="position:absolute;left:0;text-align:left;margin-left:222pt;margin-top:8.85pt;width:142pt;height:24.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" filled="f" stroked="f">
                <v:textbox style="mso-fit-shape-to-text:t">
                  <w:txbxContent>
                    <w:p w:rsidR="00991454" w:rsidRDefault="00991454" w:rsidP="00991454">
                      <w:pPr>
                        <w:pStyle w:val="NormalWeb"/>
                      </w:pPr>
                      <w:r>
                        <w:rPr>
                          <w:rFonts w:ascii="Calibri" w:eastAsia="+mn-ea" w:hAnsi="Calibri" w:cs="+mn-cs"/>
                          <w:color w:val="000000"/>
                          <w:kern w:val="24"/>
                          <w:sz w:val="28"/>
                          <w:szCs w:val="28"/>
                        </w:rPr>
                        <w:t>Hubbard Brook stands</w:t>
                      </w:r>
                    </w:p>
                  </w:txbxContent>
                </v:textbox>
              </v:shape>
            </w:pict>
          </mc:Fallback>
        </mc:AlternateContent>
      </w: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r w:rsidRPr="00991454">
        <w:rPr>
          <w:rFonts w:ascii="Calibri" w:eastAsia="Calibri" w:hAnsi="Calibri" w:cs="Times New Roman"/>
          <w:noProof/>
          <w:sz w:val="22"/>
        </w:rPr>
        <w:drawing>
          <wp:anchor distT="0" distB="0" distL="114300" distR="114300" simplePos="0" relativeHeight="251659264" behindDoc="0" locked="0" layoutInCell="1" allowOverlap="1" wp14:anchorId="3675E1B4" wp14:editId="636087FC">
            <wp:simplePos x="0" y="0"/>
            <wp:positionH relativeFrom="column">
              <wp:posOffset>933450</wp:posOffset>
            </wp:positionH>
            <wp:positionV relativeFrom="paragraph">
              <wp:posOffset>88900</wp:posOffset>
            </wp:positionV>
            <wp:extent cx="4038600" cy="2447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l="5893" t="13095" b="5952"/>
                    <a:stretch>
                      <a:fillRect/>
                    </a:stretch>
                  </pic:blipFill>
                  <pic:spPr bwMode="auto">
                    <a:xfrm>
                      <a:off x="0" y="0"/>
                      <a:ext cx="4038600" cy="2447925"/>
                    </a:xfrm>
                    <a:prstGeom prst="rect">
                      <a:avLst/>
                    </a:prstGeom>
                    <a:noFill/>
                    <a:extLst/>
                  </pic:spPr>
                </pic:pic>
              </a:graphicData>
            </a:graphic>
          </wp:anchor>
        </w:drawing>
      </w:r>
    </w:p>
    <w:p w:rsidR="00991454" w:rsidRPr="00991454" w:rsidRDefault="00991454" w:rsidP="00991454">
      <w:pPr>
        <w:spacing w:after="200" w:line="276" w:lineRule="auto"/>
        <w:jc w:val="center"/>
        <w:rPr>
          <w:rFonts w:ascii="Calibri" w:eastAsia="Calibri" w:hAnsi="Calibri" w:cs="Times New Roman"/>
          <w:sz w:val="22"/>
        </w:rPr>
      </w:pPr>
      <w:r w:rsidRPr="00991454">
        <w:rPr>
          <w:rFonts w:ascii="Calibri" w:eastAsia="Calibri" w:hAnsi="Calibri" w:cs="Times New Roman"/>
          <w:noProof/>
          <w:sz w:val="22"/>
        </w:rPr>
        <mc:AlternateContent>
          <mc:Choice Requires="wps">
            <w:drawing>
              <wp:anchor distT="0" distB="0" distL="114300" distR="114300" simplePos="0" relativeHeight="251664384" behindDoc="0" locked="0" layoutInCell="1" allowOverlap="1" wp14:anchorId="094DC756" wp14:editId="07E4DA3B">
                <wp:simplePos x="0" y="0"/>
                <wp:positionH relativeFrom="column">
                  <wp:posOffset>3142615</wp:posOffset>
                </wp:positionH>
                <wp:positionV relativeFrom="paragraph">
                  <wp:posOffset>66675</wp:posOffset>
                </wp:positionV>
                <wp:extent cx="1634490" cy="307340"/>
                <wp:effectExtent l="0" t="0" r="0" b="0"/>
                <wp:wrapNone/>
                <wp:docPr id="14" name="TextBox 13"/>
                <wp:cNvGraphicFramePr/>
                <a:graphic xmlns:a="http://schemas.openxmlformats.org/drawingml/2006/main">
                  <a:graphicData uri="http://schemas.microsoft.com/office/word/2010/wordprocessingShape">
                    <wps:wsp>
                      <wps:cNvSpPr txBox="1"/>
                      <wps:spPr>
                        <a:xfrm>
                          <a:off x="0" y="0"/>
                          <a:ext cx="1634490" cy="307340"/>
                        </a:xfrm>
                        <a:prstGeom prst="rect">
                          <a:avLst/>
                        </a:prstGeom>
                        <a:noFill/>
                      </wps:spPr>
                      <wps:txbx>
                        <w:txbxContent>
                          <w:p w:rsidR="00991454" w:rsidRDefault="00991454" w:rsidP="00991454">
                            <w:pPr>
                              <w:pStyle w:val="NormalWeb"/>
                            </w:pPr>
                            <w:r>
                              <w:rPr>
                                <w:rFonts w:ascii="Calibri" w:eastAsia="+mn-ea" w:hAnsi="Calibri" w:cs="+mn-cs"/>
                                <w:color w:val="000000"/>
                                <w:kern w:val="24"/>
                                <w:sz w:val="28"/>
                                <w:szCs w:val="28"/>
                              </w:rPr>
                              <w:t>Jeffers Brook stands</w:t>
                            </w:r>
                          </w:p>
                        </w:txbxContent>
                      </wps:txbx>
                      <wps:bodyPr wrap="none" rtlCol="0">
                        <a:spAutoFit/>
                      </wps:bodyPr>
                    </wps:wsp>
                  </a:graphicData>
                </a:graphic>
              </wp:anchor>
            </w:drawing>
          </mc:Choice>
          <mc:Fallback>
            <w:pict>
              <v:shape id="TextBox 13" o:spid="_x0000_s1028" type="#_x0000_t202" style="position:absolute;left:0;text-align:left;margin-left:247.45pt;margin-top:5.25pt;width:128.7pt;height:24.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" filled="f" stroked="f">
                <v:textbox style="mso-fit-shape-to-text:t">
                  <w:txbxContent>
                    <w:p w:rsidR="00991454" w:rsidRDefault="00991454" w:rsidP="00991454">
                      <w:pPr>
                        <w:pStyle w:val="NormalWeb"/>
                      </w:pPr>
                      <w:r>
                        <w:rPr>
                          <w:rFonts w:ascii="Calibri" w:eastAsia="+mn-ea" w:hAnsi="Calibri" w:cs="+mn-cs"/>
                          <w:color w:val="000000"/>
                          <w:kern w:val="24"/>
                          <w:sz w:val="28"/>
                          <w:szCs w:val="28"/>
                        </w:rPr>
                        <w:t>Jeffers Brook stands</w:t>
                      </w:r>
                    </w:p>
                  </w:txbxContent>
                </v:textbox>
              </v:shape>
            </w:pict>
          </mc:Fallback>
        </mc:AlternateContent>
      </w: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jc w:val="center"/>
        <w:rPr>
          <w:rFonts w:ascii="Calibri" w:eastAsia="Calibri" w:hAnsi="Calibri" w:cs="Times New Roman"/>
          <w:sz w:val="22"/>
        </w:rPr>
      </w:pPr>
    </w:p>
    <w:p w:rsidR="00991454" w:rsidRPr="00991454" w:rsidRDefault="00991454" w:rsidP="00991454">
      <w:pPr>
        <w:spacing w:after="200" w:line="276" w:lineRule="auto"/>
        <w:rPr>
          <w:rFonts w:ascii="Calibri" w:eastAsia="Calibri" w:hAnsi="Calibri" w:cs="Times New Roman"/>
          <w:sz w:val="22"/>
        </w:rPr>
      </w:pPr>
    </w:p>
    <w:p w:rsidR="00991454" w:rsidRPr="00991454" w:rsidRDefault="00991454" w:rsidP="00991454">
      <w:pPr>
        <w:spacing w:after="200" w:line="276" w:lineRule="auto"/>
        <w:rPr>
          <w:rFonts w:ascii="Calibri" w:eastAsia="Calibri" w:hAnsi="Calibri" w:cs="Times New Roman"/>
          <w:sz w:val="22"/>
        </w:rPr>
      </w:pPr>
    </w:p>
    <w:p w:rsidR="00991454" w:rsidRPr="00991454" w:rsidRDefault="00991454" w:rsidP="00991454">
      <w:pPr>
        <w:spacing w:after="200" w:line="276" w:lineRule="auto"/>
        <w:rPr>
          <w:rFonts w:ascii="Calibri" w:eastAsia="Calibri" w:hAnsi="Calibri" w:cs="Times New Roman"/>
          <w:sz w:val="22"/>
        </w:rPr>
      </w:pPr>
    </w:p>
    <w:p w:rsidR="00991454" w:rsidRPr="00991454" w:rsidRDefault="00991454" w:rsidP="00991454">
      <w:pPr>
        <w:spacing w:after="200" w:line="276" w:lineRule="auto"/>
        <w:rPr>
          <w:rFonts w:ascii="Calibri" w:eastAsia="Calibri" w:hAnsi="Calibri" w:cs="Times New Roman"/>
          <w:sz w:val="22"/>
        </w:rPr>
      </w:pPr>
      <w:proofErr w:type="gramStart"/>
      <w:r w:rsidRPr="00991454">
        <w:rPr>
          <w:rFonts w:ascii="Calibri" w:eastAsia="Calibri" w:hAnsi="Calibri" w:cs="Times New Roman"/>
          <w:sz w:val="22"/>
        </w:rPr>
        <w:t>Figure 1.</w:t>
      </w:r>
      <w:proofErr w:type="gramEnd"/>
      <w:r w:rsidRPr="00991454">
        <w:rPr>
          <w:rFonts w:ascii="Calibri" w:eastAsia="Calibri" w:hAnsi="Calibri" w:cs="Times New Roman"/>
          <w:sz w:val="22"/>
        </w:rPr>
        <w:t xml:space="preserve">  Measured (blue) and modeled (red, based on soil temperature) total soil respiration in pre-treatment years 2009-2010 for three study sites.</w:t>
      </w:r>
    </w:p>
    <w:p w:rsidR="00991454" w:rsidRPr="00991454" w:rsidRDefault="00991454" w:rsidP="00991454">
      <w:pPr>
        <w:spacing w:after="200" w:line="276" w:lineRule="auto"/>
        <w:rPr>
          <w:rFonts w:ascii="Calibri" w:eastAsia="Calibri" w:hAnsi="Calibri" w:cs="Times New Roman"/>
          <w:sz w:val="22"/>
        </w:rPr>
      </w:pPr>
      <w:r w:rsidRPr="00991454">
        <w:rPr>
          <w:rFonts w:ascii="Calibri" w:eastAsia="Calibri" w:hAnsi="Calibri" w:cs="Times New Roman"/>
          <w:sz w:val="22"/>
        </w:rPr>
        <w:lastRenderedPageBreak/>
        <w:t>We analyzed the relationships between fine root biomass and midsummer TSR across 36 study plots at the three study areas (Fig. 2a). Although fine root respiration accounts for a significant proportion of TSR in these forests (35-40%), the relationship was surprisingly weak, indicating high residual variation probably associated with differences in heterotrophic respiration and specific root respiration rate. Similarly, fine root biomass showed only a moderately strong relationship with estimated total belowground carbon allocation (Fig 2b). We anticipate that these relationships will be greatly modified by changes in respiration and allocation associated with fertilization treatments. For example, pre-treatment data indicated fairly large declines in TSR across plots depended primarily on soil N availability as indexed by net nitrogen mineralization assays (Figure 3).</w:t>
      </w:r>
    </w:p>
    <w:p w:rsidR="00991454" w:rsidRPr="00991454" w:rsidRDefault="00991454" w:rsidP="00991454">
      <w:pPr>
        <w:spacing w:after="200" w:line="276" w:lineRule="auto"/>
        <w:jc w:val="center"/>
        <w:rPr>
          <w:rFonts w:ascii="Calibri" w:eastAsia="Calibri" w:hAnsi="Calibri" w:cs="Times New Roman"/>
          <w:sz w:val="22"/>
        </w:rPr>
      </w:pPr>
      <w:r w:rsidRPr="00991454">
        <w:rPr>
          <w:rFonts w:ascii="Calibri" w:eastAsia="Calibri" w:hAnsi="Calibri" w:cs="Times New Roman"/>
          <w:noProof/>
          <w:sz w:val="22"/>
        </w:rPr>
        <w:drawing>
          <wp:inline distT="0" distB="0" distL="0" distR="0" wp14:anchorId="144E822F" wp14:editId="22E4F64E">
            <wp:extent cx="3240088" cy="2520950"/>
            <wp:effectExtent l="0" t="0" r="0" b="0"/>
            <wp:docPr id="6" name="차트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0" name="차트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0088" cy="252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91454" w:rsidRPr="00991454" w:rsidRDefault="00991454" w:rsidP="00991454">
      <w:pPr>
        <w:spacing w:after="200" w:line="276" w:lineRule="auto"/>
        <w:jc w:val="center"/>
        <w:rPr>
          <w:rFonts w:ascii="Calibri" w:eastAsia="Calibri" w:hAnsi="Calibri" w:cs="Times New Roman"/>
          <w:sz w:val="22"/>
        </w:rPr>
      </w:pPr>
      <w:r w:rsidRPr="00991454">
        <w:rPr>
          <w:rFonts w:ascii="Calibri" w:eastAsia="Calibri" w:hAnsi="Calibri" w:cs="Times New Roman"/>
          <w:noProof/>
          <w:sz w:val="22"/>
        </w:rPr>
        <w:drawing>
          <wp:inline distT="0" distB="0" distL="0" distR="0" wp14:anchorId="2ED60FFE" wp14:editId="65305CF6">
            <wp:extent cx="3238500" cy="2524125"/>
            <wp:effectExtent l="0" t="0" r="0" b="9525"/>
            <wp:docPr id="7" name="차트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차트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91454" w:rsidRPr="00991454" w:rsidRDefault="00991454" w:rsidP="00991454">
      <w:pPr>
        <w:spacing w:after="200" w:line="276" w:lineRule="auto"/>
        <w:rPr>
          <w:rFonts w:ascii="Calibri" w:eastAsia="Calibri" w:hAnsi="Calibri" w:cs="Times New Roman"/>
          <w:sz w:val="22"/>
        </w:rPr>
      </w:pPr>
      <w:r w:rsidRPr="00991454">
        <w:rPr>
          <w:rFonts w:ascii="Calibri" w:eastAsia="Calibri" w:hAnsi="Calibri" w:cs="Times New Roman"/>
          <w:sz w:val="22"/>
        </w:rPr>
        <w:t>Figure 2.  A. Pre-treatment data for a relationship between fine root biomass (&lt; 1 mm) and midsummer total soil respiration for 36 study plots at three study sites.  B. Relationship between estimated total belowground C allocation (TBCA) and fine root biomass (0-1 mm or 0-5 mm) for 18 study plots.</w:t>
      </w:r>
    </w:p>
    <w:p w:rsidR="00991454" w:rsidRPr="00991454" w:rsidRDefault="00991454" w:rsidP="00991454">
      <w:pPr>
        <w:spacing w:after="200" w:line="276" w:lineRule="auto"/>
        <w:rPr>
          <w:rFonts w:ascii="Calibri" w:eastAsia="Calibri" w:hAnsi="Calibri" w:cs="Times New Roman"/>
          <w:sz w:val="22"/>
        </w:rPr>
      </w:pPr>
    </w:p>
    <w:p w:rsidR="00991454" w:rsidRPr="00991454" w:rsidRDefault="00991454" w:rsidP="00991454">
      <w:pPr>
        <w:spacing w:after="200" w:line="276" w:lineRule="auto"/>
        <w:rPr>
          <w:rFonts w:ascii="Calibri" w:eastAsia="Calibri" w:hAnsi="Calibri" w:cs="Times New Roman"/>
          <w:sz w:val="22"/>
        </w:rPr>
      </w:pPr>
      <w:r w:rsidRPr="00991454">
        <w:rPr>
          <w:rFonts w:ascii="Calibri" w:eastAsia="Calibri" w:hAnsi="Calibri" w:cs="Times New Roman"/>
          <w:noProof/>
          <w:sz w:val="22"/>
        </w:rPr>
        <w:lastRenderedPageBreak/>
        <w:drawing>
          <wp:inline distT="0" distB="0" distL="0" distR="0" wp14:anchorId="0B6B3378" wp14:editId="2AA23DDD">
            <wp:extent cx="5943600" cy="1864360"/>
            <wp:effectExtent l="0" t="0" r="0" b="254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864360"/>
                    </a:xfrm>
                    <a:prstGeom prst="rect">
                      <a:avLst/>
                    </a:prstGeom>
                    <a:noFill/>
                    <a:ln>
                      <a:noFill/>
                    </a:ln>
                    <a:effectLst/>
                    <a:extLst/>
                  </pic:spPr>
                </pic:pic>
              </a:graphicData>
            </a:graphic>
          </wp:inline>
        </w:drawing>
      </w:r>
    </w:p>
    <w:p w:rsidR="00991454" w:rsidRPr="00991454" w:rsidRDefault="00991454" w:rsidP="00991454">
      <w:pPr>
        <w:spacing w:after="200" w:line="276" w:lineRule="auto"/>
        <w:rPr>
          <w:rFonts w:ascii="Calibri" w:eastAsia="Calibri" w:hAnsi="Calibri" w:cs="Times New Roman"/>
          <w:sz w:val="22"/>
        </w:rPr>
      </w:pPr>
      <w:r w:rsidRPr="00991454">
        <w:rPr>
          <w:rFonts w:ascii="Calibri" w:eastAsia="Calibri" w:hAnsi="Calibri" w:cs="Times New Roman"/>
          <w:sz w:val="22"/>
        </w:rPr>
        <w:t>Figure 3.  Pre-treatment data for thirteen stands across three study areas, illustrating the relationship between soil N mineralization and total soil respiration.  Values represent means across three plots per stand and five soil collars per plot.</w:t>
      </w:r>
    </w:p>
    <w:p w:rsidR="00D75D73" w:rsidRDefault="00D75D73" w:rsidP="0060196E">
      <w:pPr>
        <w:rPr>
          <w:rFonts w:ascii="Arial" w:hAnsi="Arial" w:cs="Arial"/>
          <w:szCs w:val="24"/>
        </w:rPr>
      </w:pPr>
    </w:p>
    <w:p w:rsidR="001A6B23" w:rsidRPr="00991454" w:rsidRDefault="00173DEC" w:rsidP="00E60292">
      <w:pPr>
        <w:spacing w:line="480" w:lineRule="auto"/>
        <w:rPr>
          <w:rFonts w:ascii="Arial" w:hAnsi="Arial" w:cs="Arial"/>
          <w:sz w:val="22"/>
        </w:rPr>
      </w:pPr>
      <w:r>
        <w:rPr>
          <w:rFonts w:ascii="Arial" w:hAnsi="Arial" w:cs="Arial"/>
          <w:szCs w:val="24"/>
        </w:rPr>
        <w:tab/>
      </w:r>
      <w:r w:rsidRPr="00991454">
        <w:rPr>
          <w:rFonts w:ascii="Arial" w:hAnsi="Arial" w:cs="Arial"/>
          <w:sz w:val="22"/>
        </w:rPr>
        <w:t xml:space="preserve"> W</w:t>
      </w:r>
      <w:r w:rsidR="001A6B23" w:rsidRPr="00991454">
        <w:rPr>
          <w:rFonts w:ascii="Arial" w:hAnsi="Arial" w:cs="Arial"/>
          <w:sz w:val="22"/>
        </w:rPr>
        <w:t>e ha</w:t>
      </w:r>
      <w:r w:rsidRPr="00991454">
        <w:rPr>
          <w:rFonts w:ascii="Arial" w:hAnsi="Arial" w:cs="Arial"/>
          <w:sz w:val="22"/>
        </w:rPr>
        <w:t xml:space="preserve">ve completed installation, pre-treatment observation and methods </w:t>
      </w:r>
      <w:proofErr w:type="gramStart"/>
      <w:r w:rsidRPr="00991454">
        <w:rPr>
          <w:rFonts w:ascii="Arial" w:hAnsi="Arial" w:cs="Arial"/>
          <w:sz w:val="22"/>
        </w:rPr>
        <w:t xml:space="preserve">development </w:t>
      </w:r>
      <w:r w:rsidR="001A6B23" w:rsidRPr="00991454">
        <w:rPr>
          <w:rFonts w:ascii="Arial" w:hAnsi="Arial" w:cs="Arial"/>
          <w:sz w:val="22"/>
        </w:rPr>
        <w:t xml:space="preserve"> for</w:t>
      </w:r>
      <w:proofErr w:type="gramEnd"/>
      <w:r w:rsidR="001A6B23" w:rsidRPr="00991454">
        <w:rPr>
          <w:rFonts w:ascii="Arial" w:hAnsi="Arial" w:cs="Arial"/>
          <w:sz w:val="22"/>
        </w:rPr>
        <w:t xml:space="preserve"> quantifying fine root dynamics and mycorrhizal colonization.  A total of 160 minirhizotron access tubes were installed during summer 2010 and</w:t>
      </w:r>
      <w:r w:rsidRPr="00991454">
        <w:rPr>
          <w:rFonts w:ascii="Arial" w:hAnsi="Arial" w:cs="Arial"/>
          <w:sz w:val="22"/>
        </w:rPr>
        <w:t xml:space="preserve"> pre-treatment</w:t>
      </w:r>
      <w:r w:rsidR="001A6B23" w:rsidRPr="00991454">
        <w:rPr>
          <w:rFonts w:ascii="Arial" w:hAnsi="Arial" w:cs="Arial"/>
          <w:sz w:val="22"/>
        </w:rPr>
        <w:t xml:space="preserve"> measurements </w:t>
      </w:r>
      <w:r w:rsidRPr="00991454">
        <w:rPr>
          <w:rFonts w:ascii="Arial" w:hAnsi="Arial" w:cs="Arial"/>
          <w:sz w:val="22"/>
        </w:rPr>
        <w:t>were conducted during the snow-free season in 2011.</w:t>
      </w:r>
      <w:r w:rsidR="001A6B23" w:rsidRPr="00991454">
        <w:rPr>
          <w:rFonts w:ascii="Arial" w:hAnsi="Arial" w:cs="Arial"/>
          <w:sz w:val="22"/>
        </w:rPr>
        <w:t xml:space="preserve">Macroscopic approaches for quantifying relative changes in ectomycorrhizal vs. arbuscular mycorrhizal colonization of fine root tips </w:t>
      </w:r>
      <w:r w:rsidRPr="00991454">
        <w:rPr>
          <w:rFonts w:ascii="Arial" w:hAnsi="Arial" w:cs="Arial"/>
          <w:sz w:val="22"/>
        </w:rPr>
        <w:t xml:space="preserve">have been successfully developed for pre-treatment samples on two selected plots. We will utilize these methods to compare the proportions of root tips that are </w:t>
      </w:r>
      <w:proofErr w:type="spellStart"/>
      <w:r w:rsidRPr="00991454">
        <w:rPr>
          <w:rFonts w:ascii="Arial" w:hAnsi="Arial" w:cs="Arial"/>
          <w:sz w:val="22"/>
        </w:rPr>
        <w:t>ectomycorrhizal</w:t>
      </w:r>
      <w:proofErr w:type="spellEnd"/>
      <w:r w:rsidRPr="00991454">
        <w:rPr>
          <w:rFonts w:ascii="Arial" w:hAnsi="Arial" w:cs="Arial"/>
          <w:sz w:val="22"/>
        </w:rPr>
        <w:t xml:space="preserve">, </w:t>
      </w:r>
      <w:proofErr w:type="spellStart"/>
      <w:r w:rsidRPr="00991454">
        <w:rPr>
          <w:rFonts w:ascii="Arial" w:hAnsi="Arial" w:cs="Arial"/>
          <w:sz w:val="22"/>
        </w:rPr>
        <w:t>arbuscular</w:t>
      </w:r>
      <w:proofErr w:type="spellEnd"/>
      <w:r w:rsidRPr="00991454">
        <w:rPr>
          <w:rFonts w:ascii="Arial" w:hAnsi="Arial" w:cs="Arial"/>
          <w:sz w:val="22"/>
        </w:rPr>
        <w:t xml:space="preserve"> </w:t>
      </w:r>
      <w:proofErr w:type="spellStart"/>
      <w:r w:rsidRPr="00991454">
        <w:rPr>
          <w:rFonts w:ascii="Arial" w:hAnsi="Arial" w:cs="Arial"/>
          <w:sz w:val="22"/>
        </w:rPr>
        <w:t>mycorrhizal</w:t>
      </w:r>
      <w:proofErr w:type="spellEnd"/>
      <w:r w:rsidRPr="00991454">
        <w:rPr>
          <w:rFonts w:ascii="Arial" w:hAnsi="Arial" w:cs="Arial"/>
          <w:sz w:val="22"/>
        </w:rPr>
        <w:t xml:space="preserve"> or non-</w:t>
      </w:r>
      <w:proofErr w:type="spellStart"/>
      <w:r w:rsidRPr="00991454">
        <w:rPr>
          <w:rFonts w:ascii="Arial" w:hAnsi="Arial" w:cs="Arial"/>
          <w:sz w:val="22"/>
        </w:rPr>
        <w:t>mycorrhizal</w:t>
      </w:r>
      <w:proofErr w:type="spellEnd"/>
      <w:r w:rsidRPr="00991454">
        <w:rPr>
          <w:rFonts w:ascii="Arial" w:hAnsi="Arial" w:cs="Arial"/>
          <w:sz w:val="22"/>
        </w:rPr>
        <w:t xml:space="preserve"> in the control and treated plots beginning in the third year, post-treatment.</w:t>
      </w:r>
    </w:p>
    <w:p w:rsidR="0021216C" w:rsidRPr="00991454" w:rsidRDefault="00372AD3" w:rsidP="00D52B1B">
      <w:pPr>
        <w:spacing w:line="480" w:lineRule="auto"/>
        <w:rPr>
          <w:rFonts w:ascii="Arial" w:hAnsi="Arial" w:cs="Arial"/>
          <w:sz w:val="22"/>
        </w:rPr>
      </w:pPr>
      <w:r w:rsidRPr="00991454">
        <w:rPr>
          <w:rFonts w:ascii="Arial" w:hAnsi="Arial" w:cs="Arial"/>
          <w:sz w:val="22"/>
        </w:rPr>
        <w:tab/>
      </w:r>
    </w:p>
    <w:p w:rsidR="009C4CD5" w:rsidRDefault="00160C50" w:rsidP="00FD2121">
      <w:pPr>
        <w:spacing w:line="480" w:lineRule="auto"/>
        <w:ind w:firstLine="720"/>
        <w:rPr>
          <w:rFonts w:ascii="Arial" w:hAnsi="Arial" w:cs="Arial"/>
          <w:sz w:val="22"/>
          <w:szCs w:val="24"/>
        </w:rPr>
      </w:pPr>
      <w:r w:rsidRPr="00DD766B">
        <w:rPr>
          <w:rFonts w:ascii="Arial" w:hAnsi="Arial" w:cs="Arial"/>
          <w:sz w:val="22"/>
          <w:szCs w:val="24"/>
        </w:rPr>
        <w:t xml:space="preserve">Goodale et al. </w:t>
      </w:r>
      <w:r w:rsidR="009C4CD5">
        <w:rPr>
          <w:rFonts w:ascii="Arial" w:hAnsi="Arial" w:cs="Arial"/>
          <w:sz w:val="22"/>
          <w:szCs w:val="24"/>
        </w:rPr>
        <w:t>are</w:t>
      </w:r>
      <w:r w:rsidRPr="00DD766B">
        <w:rPr>
          <w:rFonts w:ascii="Arial" w:hAnsi="Arial" w:cs="Arial"/>
          <w:sz w:val="22"/>
          <w:szCs w:val="24"/>
        </w:rPr>
        <w:t xml:space="preserve"> responsible for characterizing pre-treatment soil carbon and nitrogen stocks across all plots.  In </w:t>
      </w:r>
      <w:r w:rsidR="00DD2244">
        <w:rPr>
          <w:rFonts w:ascii="Arial" w:hAnsi="Arial" w:cs="Arial"/>
          <w:sz w:val="22"/>
          <w:szCs w:val="24"/>
        </w:rPr>
        <w:t>summer</w:t>
      </w:r>
      <w:r w:rsidRPr="00DD766B">
        <w:rPr>
          <w:rFonts w:ascii="Arial" w:hAnsi="Arial" w:cs="Arial"/>
          <w:sz w:val="22"/>
          <w:szCs w:val="24"/>
        </w:rPr>
        <w:t xml:space="preserve"> 2010</w:t>
      </w:r>
      <w:r w:rsidR="009C4CD5">
        <w:rPr>
          <w:rFonts w:ascii="Arial" w:hAnsi="Arial" w:cs="Arial"/>
          <w:sz w:val="22"/>
          <w:szCs w:val="24"/>
        </w:rPr>
        <w:t>, prior to fertilization,</w:t>
      </w:r>
      <w:r w:rsidRPr="00DD766B">
        <w:rPr>
          <w:rFonts w:ascii="Arial" w:hAnsi="Arial" w:cs="Arial"/>
          <w:sz w:val="22"/>
          <w:szCs w:val="24"/>
        </w:rPr>
        <w:t xml:space="preserve"> we sampled </w:t>
      </w:r>
      <w:r w:rsidR="009C4CD5">
        <w:rPr>
          <w:rFonts w:ascii="Arial" w:hAnsi="Arial" w:cs="Arial"/>
          <w:sz w:val="22"/>
          <w:szCs w:val="24"/>
        </w:rPr>
        <w:t xml:space="preserve">all </w:t>
      </w:r>
      <w:r w:rsidRPr="00DD766B">
        <w:rPr>
          <w:rFonts w:ascii="Arial" w:hAnsi="Arial" w:cs="Arial"/>
          <w:sz w:val="22"/>
          <w:szCs w:val="24"/>
        </w:rPr>
        <w:t xml:space="preserve">24 plots, or 4 plots located at each of </w:t>
      </w:r>
      <w:r w:rsidR="00761CBB">
        <w:rPr>
          <w:rFonts w:ascii="Arial" w:hAnsi="Arial" w:cs="Arial"/>
          <w:sz w:val="22"/>
          <w:szCs w:val="24"/>
        </w:rPr>
        <w:t xml:space="preserve">the </w:t>
      </w:r>
      <w:r w:rsidRPr="00DD766B">
        <w:rPr>
          <w:rFonts w:ascii="Arial" w:hAnsi="Arial" w:cs="Arial"/>
          <w:sz w:val="22"/>
          <w:szCs w:val="24"/>
        </w:rPr>
        <w:t>six sites:  Hubbard Brook Mid</w:t>
      </w:r>
      <w:r w:rsidR="00761CBB">
        <w:rPr>
          <w:rFonts w:ascii="Arial" w:hAnsi="Arial" w:cs="Arial"/>
          <w:sz w:val="22"/>
          <w:szCs w:val="24"/>
        </w:rPr>
        <w:t>-Aged</w:t>
      </w:r>
      <w:r w:rsidRPr="00DD766B">
        <w:rPr>
          <w:rFonts w:ascii="Arial" w:hAnsi="Arial" w:cs="Arial"/>
          <w:sz w:val="22"/>
          <w:szCs w:val="24"/>
        </w:rPr>
        <w:t>, Hubb</w:t>
      </w:r>
      <w:r w:rsidR="00761CBB">
        <w:rPr>
          <w:rFonts w:ascii="Arial" w:hAnsi="Arial" w:cs="Arial"/>
          <w:sz w:val="22"/>
          <w:szCs w:val="24"/>
        </w:rPr>
        <w:t>ard Brook Old, Jeffers Brook Mid-Aged</w:t>
      </w:r>
      <w:r w:rsidRPr="00DD766B">
        <w:rPr>
          <w:rFonts w:ascii="Arial" w:hAnsi="Arial" w:cs="Arial"/>
          <w:sz w:val="22"/>
          <w:szCs w:val="24"/>
        </w:rPr>
        <w:t xml:space="preserve">, Jeffers Brook Old, Bartlett C5, and Bartlett C7.  </w:t>
      </w:r>
      <w:r w:rsidR="009C4CD5">
        <w:rPr>
          <w:rFonts w:ascii="Arial" w:hAnsi="Arial" w:cs="Arial"/>
          <w:sz w:val="22"/>
          <w:szCs w:val="24"/>
        </w:rPr>
        <w:t>Soil cores were collected from f</w:t>
      </w:r>
      <w:r w:rsidRPr="00DD766B">
        <w:rPr>
          <w:rFonts w:ascii="Arial" w:hAnsi="Arial" w:cs="Arial"/>
          <w:sz w:val="22"/>
          <w:szCs w:val="24"/>
        </w:rPr>
        <w:t xml:space="preserve">ive locations per plot:  four locations were located in the buffer (to-be-fertilized) area near the plot corners, and one </w:t>
      </w:r>
      <w:r w:rsidR="008571C4">
        <w:rPr>
          <w:rFonts w:ascii="Arial" w:hAnsi="Arial" w:cs="Arial"/>
          <w:sz w:val="22"/>
          <w:szCs w:val="24"/>
        </w:rPr>
        <w:t xml:space="preserve">location </w:t>
      </w:r>
      <w:r w:rsidRPr="00DD766B">
        <w:rPr>
          <w:rFonts w:ascii="Arial" w:hAnsi="Arial" w:cs="Arial"/>
          <w:sz w:val="22"/>
          <w:szCs w:val="24"/>
        </w:rPr>
        <w:t>near the center of the plot</w:t>
      </w:r>
      <w:r w:rsidR="009C4CD5">
        <w:rPr>
          <w:rFonts w:ascii="Arial" w:hAnsi="Arial" w:cs="Arial"/>
          <w:sz w:val="22"/>
          <w:szCs w:val="24"/>
        </w:rPr>
        <w:t>, for a total of 120 soil cores (6 sites x 4 plots/site x 5 cores/plot)</w:t>
      </w:r>
      <w:r w:rsidRPr="00DD766B">
        <w:rPr>
          <w:rFonts w:ascii="Arial" w:hAnsi="Arial" w:cs="Arial"/>
          <w:sz w:val="22"/>
          <w:szCs w:val="24"/>
        </w:rPr>
        <w:t xml:space="preserve">.  At each coring location the </w:t>
      </w:r>
      <w:proofErr w:type="spellStart"/>
      <w:r w:rsidRPr="00DD766B">
        <w:rPr>
          <w:rFonts w:ascii="Arial" w:hAnsi="Arial" w:cs="Arial"/>
          <w:sz w:val="22"/>
          <w:szCs w:val="24"/>
        </w:rPr>
        <w:t>Oi</w:t>
      </w:r>
      <w:proofErr w:type="spellEnd"/>
      <w:r w:rsidRPr="00DD766B">
        <w:rPr>
          <w:rFonts w:ascii="Arial" w:hAnsi="Arial" w:cs="Arial"/>
          <w:sz w:val="22"/>
          <w:szCs w:val="24"/>
        </w:rPr>
        <w:t>/</w:t>
      </w:r>
      <w:proofErr w:type="spellStart"/>
      <w:r w:rsidRPr="00DD766B">
        <w:rPr>
          <w:rFonts w:ascii="Arial" w:hAnsi="Arial" w:cs="Arial"/>
          <w:sz w:val="22"/>
          <w:szCs w:val="24"/>
        </w:rPr>
        <w:t>Oe</w:t>
      </w:r>
      <w:proofErr w:type="spellEnd"/>
      <w:r w:rsidRPr="00DD766B">
        <w:rPr>
          <w:rFonts w:ascii="Arial" w:hAnsi="Arial" w:cs="Arial"/>
          <w:sz w:val="22"/>
          <w:szCs w:val="24"/>
        </w:rPr>
        <w:t xml:space="preserve"> and </w:t>
      </w:r>
      <w:proofErr w:type="spellStart"/>
      <w:r w:rsidRPr="00DD766B">
        <w:rPr>
          <w:rFonts w:ascii="Arial" w:hAnsi="Arial" w:cs="Arial"/>
          <w:sz w:val="22"/>
          <w:szCs w:val="24"/>
        </w:rPr>
        <w:t>Oa</w:t>
      </w:r>
      <w:proofErr w:type="spellEnd"/>
      <w:r w:rsidRPr="00DD766B">
        <w:rPr>
          <w:rFonts w:ascii="Arial" w:hAnsi="Arial" w:cs="Arial"/>
          <w:sz w:val="22"/>
          <w:szCs w:val="24"/>
        </w:rPr>
        <w:t xml:space="preserve"> forest floor layers were </w:t>
      </w:r>
      <w:r w:rsidRPr="00DD766B">
        <w:rPr>
          <w:rFonts w:ascii="Arial" w:hAnsi="Arial" w:cs="Arial"/>
          <w:sz w:val="22"/>
          <w:szCs w:val="24"/>
        </w:rPr>
        <w:lastRenderedPageBreak/>
        <w:t xml:space="preserve">manually removed in a 15 cm x 15 cm area using a pin-block device.  Mineral soil samples were taken from </w:t>
      </w:r>
      <w:r w:rsidR="009C4CD5">
        <w:rPr>
          <w:rFonts w:ascii="Arial" w:hAnsi="Arial" w:cs="Arial"/>
          <w:sz w:val="22"/>
          <w:szCs w:val="24"/>
        </w:rPr>
        <w:t>beneath the removed forest floor</w:t>
      </w:r>
      <w:r w:rsidRPr="00DD766B">
        <w:rPr>
          <w:rFonts w:ascii="Arial" w:hAnsi="Arial" w:cs="Arial"/>
          <w:sz w:val="22"/>
          <w:szCs w:val="24"/>
        </w:rPr>
        <w:t xml:space="preserve"> using an engine-driven, diamond-tipped coring device </w:t>
      </w:r>
      <w:r w:rsidR="009C4CD5">
        <w:rPr>
          <w:rFonts w:ascii="Arial" w:hAnsi="Arial" w:cs="Arial"/>
          <w:sz w:val="22"/>
          <w:szCs w:val="24"/>
        </w:rPr>
        <w:t>(Rau et al. 2011</w:t>
      </w:r>
      <w:r w:rsidR="00FD2121">
        <w:rPr>
          <w:rFonts w:ascii="Arial" w:hAnsi="Arial" w:cs="Arial"/>
          <w:sz w:val="22"/>
          <w:szCs w:val="24"/>
        </w:rPr>
        <w:t xml:space="preserve">; </w:t>
      </w:r>
      <w:r w:rsidR="00FD2121" w:rsidRPr="00FD2121">
        <w:rPr>
          <w:rFonts w:ascii="Arial" w:hAnsi="Arial" w:cs="Arial"/>
          <w:i/>
          <w:sz w:val="22"/>
          <w:szCs w:val="24"/>
        </w:rPr>
        <w:t xml:space="preserve">Soil </w:t>
      </w:r>
      <w:proofErr w:type="spellStart"/>
      <w:r w:rsidR="00FD2121" w:rsidRPr="00FD2121">
        <w:rPr>
          <w:rFonts w:ascii="Arial" w:hAnsi="Arial" w:cs="Arial"/>
          <w:i/>
          <w:sz w:val="22"/>
          <w:szCs w:val="24"/>
        </w:rPr>
        <w:t>Sci</w:t>
      </w:r>
      <w:proofErr w:type="spellEnd"/>
      <w:r w:rsidR="009C4CD5">
        <w:rPr>
          <w:rFonts w:ascii="Arial" w:hAnsi="Arial" w:cs="Arial"/>
          <w:sz w:val="22"/>
          <w:szCs w:val="24"/>
        </w:rPr>
        <w:t xml:space="preserve">) with an </w:t>
      </w:r>
      <w:r w:rsidRPr="00DD766B">
        <w:rPr>
          <w:rFonts w:ascii="Arial" w:hAnsi="Arial" w:cs="Arial"/>
          <w:sz w:val="22"/>
          <w:szCs w:val="24"/>
        </w:rPr>
        <w:t xml:space="preserve">internal diameter </w:t>
      </w:r>
      <w:r w:rsidR="009C4CD5">
        <w:rPr>
          <w:rFonts w:ascii="Arial" w:hAnsi="Arial" w:cs="Arial"/>
          <w:sz w:val="22"/>
          <w:szCs w:val="24"/>
        </w:rPr>
        <w:t xml:space="preserve">of </w:t>
      </w:r>
      <w:r w:rsidRPr="00DD766B">
        <w:rPr>
          <w:rFonts w:ascii="Arial" w:hAnsi="Arial" w:cs="Arial"/>
          <w:sz w:val="22"/>
          <w:szCs w:val="24"/>
        </w:rPr>
        <w:t>9.5 cm</w:t>
      </w:r>
      <w:r w:rsidR="008571C4">
        <w:rPr>
          <w:rFonts w:ascii="Arial" w:hAnsi="Arial" w:cs="Arial"/>
          <w:sz w:val="22"/>
          <w:szCs w:val="24"/>
        </w:rPr>
        <w:t xml:space="preserve">, in </w:t>
      </w:r>
      <w:r w:rsidRPr="00DD766B">
        <w:rPr>
          <w:rFonts w:ascii="Arial" w:hAnsi="Arial" w:cs="Arial"/>
          <w:sz w:val="22"/>
          <w:szCs w:val="24"/>
        </w:rPr>
        <w:t xml:space="preserve">4 depth increments: 0-10 cm, 10-20 cm, 20-30cm, and 30-50 cm.  For the 30-50 cm increment, roots were removed in the field or in the lab immediately following collection, </w:t>
      </w:r>
      <w:proofErr w:type="gramStart"/>
      <w:r w:rsidRPr="00DD766B">
        <w:rPr>
          <w:rFonts w:ascii="Arial" w:hAnsi="Arial" w:cs="Arial"/>
          <w:sz w:val="22"/>
          <w:szCs w:val="24"/>
        </w:rPr>
        <w:t>then</w:t>
      </w:r>
      <w:proofErr w:type="gramEnd"/>
      <w:r w:rsidRPr="00DD766B">
        <w:rPr>
          <w:rFonts w:ascii="Arial" w:hAnsi="Arial" w:cs="Arial"/>
          <w:sz w:val="22"/>
          <w:szCs w:val="24"/>
        </w:rPr>
        <w:t xml:space="preserve"> frozen.  The remaining soil for this depth increment was split in half and the root subsample bag was frozen.  Processing of the 480 mineral soil samples include</w:t>
      </w:r>
      <w:r w:rsidR="009C4CD5">
        <w:rPr>
          <w:rFonts w:ascii="Arial" w:hAnsi="Arial" w:cs="Arial"/>
          <w:sz w:val="22"/>
          <w:szCs w:val="24"/>
        </w:rPr>
        <w:t>d</w:t>
      </w:r>
      <w:r w:rsidRPr="00DD766B">
        <w:rPr>
          <w:rFonts w:ascii="Arial" w:hAnsi="Arial" w:cs="Arial"/>
          <w:sz w:val="22"/>
          <w:szCs w:val="24"/>
        </w:rPr>
        <w:t xml:space="preserve"> </w:t>
      </w:r>
      <w:r w:rsidR="009C4CD5">
        <w:rPr>
          <w:rFonts w:ascii="Arial" w:hAnsi="Arial" w:cs="Arial"/>
          <w:sz w:val="22"/>
          <w:szCs w:val="24"/>
        </w:rPr>
        <w:t xml:space="preserve">air-drying, </w:t>
      </w:r>
      <w:r w:rsidRPr="00DD766B">
        <w:rPr>
          <w:rFonts w:ascii="Arial" w:hAnsi="Arial" w:cs="Arial"/>
          <w:sz w:val="22"/>
          <w:szCs w:val="24"/>
        </w:rPr>
        <w:t>sieving (to 2 mm)</w:t>
      </w:r>
      <w:r w:rsidR="009C4CD5">
        <w:rPr>
          <w:rFonts w:ascii="Arial" w:hAnsi="Arial" w:cs="Arial"/>
          <w:sz w:val="22"/>
          <w:szCs w:val="24"/>
        </w:rPr>
        <w:t>,</w:t>
      </w:r>
      <w:r w:rsidRPr="00DD766B">
        <w:rPr>
          <w:rFonts w:ascii="Arial" w:hAnsi="Arial" w:cs="Arial"/>
          <w:sz w:val="22"/>
          <w:szCs w:val="24"/>
        </w:rPr>
        <w:t xml:space="preserve"> and </w:t>
      </w:r>
      <w:r w:rsidR="009C4CD5">
        <w:rPr>
          <w:rFonts w:ascii="Arial" w:hAnsi="Arial" w:cs="Arial"/>
          <w:sz w:val="22"/>
          <w:szCs w:val="24"/>
        </w:rPr>
        <w:t xml:space="preserve">then </w:t>
      </w:r>
      <w:r w:rsidRPr="00DD766B">
        <w:rPr>
          <w:rFonts w:ascii="Arial" w:hAnsi="Arial" w:cs="Arial"/>
          <w:sz w:val="22"/>
          <w:szCs w:val="24"/>
        </w:rPr>
        <w:t xml:space="preserve">grinding </w:t>
      </w:r>
      <w:r w:rsidR="009C4CD5">
        <w:rPr>
          <w:rFonts w:ascii="Arial" w:hAnsi="Arial" w:cs="Arial"/>
          <w:sz w:val="22"/>
          <w:szCs w:val="24"/>
        </w:rPr>
        <w:t xml:space="preserve">to a fine powder with a ball mill </w:t>
      </w:r>
      <w:r w:rsidRPr="00DD766B">
        <w:rPr>
          <w:rFonts w:ascii="Arial" w:hAnsi="Arial" w:cs="Arial"/>
          <w:sz w:val="22"/>
          <w:szCs w:val="24"/>
        </w:rPr>
        <w:t>in preparation for C and N analysis</w:t>
      </w:r>
      <w:r w:rsidR="009C4CD5">
        <w:rPr>
          <w:rFonts w:ascii="Arial" w:hAnsi="Arial" w:cs="Arial"/>
          <w:sz w:val="22"/>
          <w:szCs w:val="24"/>
        </w:rPr>
        <w:t xml:space="preserve"> on a </w:t>
      </w:r>
      <w:proofErr w:type="spellStart"/>
      <w:r w:rsidR="009C4CD5">
        <w:rPr>
          <w:rFonts w:ascii="Arial" w:hAnsi="Arial" w:cs="Arial"/>
          <w:sz w:val="22"/>
          <w:szCs w:val="24"/>
        </w:rPr>
        <w:t>vario</w:t>
      </w:r>
      <w:proofErr w:type="spellEnd"/>
      <w:r w:rsidR="009C4CD5">
        <w:rPr>
          <w:rFonts w:ascii="Arial" w:hAnsi="Arial" w:cs="Arial"/>
          <w:sz w:val="22"/>
          <w:szCs w:val="24"/>
        </w:rPr>
        <w:t>-EL III (</w:t>
      </w:r>
      <w:proofErr w:type="spellStart"/>
      <w:r w:rsidR="009C4CD5">
        <w:rPr>
          <w:rFonts w:ascii="Arial" w:hAnsi="Arial" w:cs="Arial"/>
          <w:sz w:val="22"/>
          <w:szCs w:val="24"/>
        </w:rPr>
        <w:t>Elementar</w:t>
      </w:r>
      <w:proofErr w:type="spellEnd"/>
      <w:r w:rsidR="009C4CD5">
        <w:rPr>
          <w:rFonts w:ascii="Arial" w:hAnsi="Arial" w:cs="Arial"/>
          <w:sz w:val="22"/>
          <w:szCs w:val="24"/>
        </w:rPr>
        <w:t xml:space="preserve"> </w:t>
      </w:r>
      <w:proofErr w:type="spellStart"/>
      <w:r w:rsidR="009C4CD5">
        <w:rPr>
          <w:rFonts w:ascii="Arial" w:hAnsi="Arial" w:cs="Arial"/>
          <w:sz w:val="22"/>
          <w:szCs w:val="24"/>
        </w:rPr>
        <w:t>Analysensysteme</w:t>
      </w:r>
      <w:proofErr w:type="spellEnd"/>
      <w:r w:rsidR="009C4CD5">
        <w:rPr>
          <w:rFonts w:ascii="Arial" w:hAnsi="Arial" w:cs="Arial"/>
          <w:sz w:val="22"/>
          <w:szCs w:val="24"/>
        </w:rPr>
        <w:t>, Hanau, Germany)</w:t>
      </w:r>
      <w:r w:rsidRPr="00DD766B">
        <w:rPr>
          <w:rFonts w:ascii="Arial" w:hAnsi="Arial" w:cs="Arial"/>
          <w:sz w:val="22"/>
          <w:szCs w:val="24"/>
        </w:rPr>
        <w:t xml:space="preserve">. </w:t>
      </w:r>
      <w:r w:rsidR="009C4CD5">
        <w:rPr>
          <w:rFonts w:ascii="Arial" w:hAnsi="Arial" w:cs="Arial"/>
          <w:sz w:val="22"/>
          <w:szCs w:val="24"/>
        </w:rPr>
        <w:t xml:space="preserve">The forest floor was sieved to 6 mm, and otherwise processed similarly as the mineral soil.  </w:t>
      </w:r>
      <w:r w:rsidR="00DD2244">
        <w:rPr>
          <w:rFonts w:ascii="Arial" w:hAnsi="Arial" w:cs="Arial"/>
          <w:sz w:val="22"/>
          <w:szCs w:val="24"/>
        </w:rPr>
        <w:t xml:space="preserve">This </w:t>
      </w:r>
      <w:r w:rsidRPr="00DD766B">
        <w:rPr>
          <w:rFonts w:ascii="Arial" w:hAnsi="Arial" w:cs="Arial"/>
          <w:sz w:val="22"/>
          <w:szCs w:val="24"/>
        </w:rPr>
        <w:t xml:space="preserve">processing </w:t>
      </w:r>
      <w:r w:rsidR="009C4CD5">
        <w:rPr>
          <w:rFonts w:ascii="Arial" w:hAnsi="Arial" w:cs="Arial"/>
          <w:sz w:val="22"/>
          <w:szCs w:val="24"/>
        </w:rPr>
        <w:t xml:space="preserve">and analysis </w:t>
      </w:r>
      <w:r w:rsidR="00DD2244">
        <w:rPr>
          <w:rFonts w:ascii="Arial" w:hAnsi="Arial" w:cs="Arial"/>
          <w:sz w:val="22"/>
          <w:szCs w:val="24"/>
        </w:rPr>
        <w:t>was completed</w:t>
      </w:r>
      <w:r w:rsidRPr="00DD766B">
        <w:rPr>
          <w:rFonts w:ascii="Arial" w:hAnsi="Arial" w:cs="Arial"/>
          <w:sz w:val="22"/>
          <w:szCs w:val="24"/>
        </w:rPr>
        <w:t xml:space="preserve"> by the end of </w:t>
      </w:r>
      <w:r w:rsidR="009C4CD5">
        <w:rPr>
          <w:rFonts w:ascii="Arial" w:hAnsi="Arial" w:cs="Arial"/>
          <w:sz w:val="22"/>
          <w:szCs w:val="24"/>
        </w:rPr>
        <w:t>spring 2012</w:t>
      </w:r>
      <w:r w:rsidRPr="00DD766B">
        <w:rPr>
          <w:rFonts w:ascii="Arial" w:hAnsi="Arial" w:cs="Arial"/>
          <w:sz w:val="22"/>
          <w:szCs w:val="24"/>
        </w:rPr>
        <w:t xml:space="preserve">. </w:t>
      </w:r>
    </w:p>
    <w:p w:rsidR="00DD2244" w:rsidRDefault="009C4CD5" w:rsidP="00FD2121">
      <w:pPr>
        <w:spacing w:line="480" w:lineRule="auto"/>
        <w:ind w:firstLine="720"/>
        <w:rPr>
          <w:rFonts w:ascii="Arial" w:hAnsi="Arial" w:cs="Arial"/>
          <w:sz w:val="22"/>
          <w:szCs w:val="24"/>
        </w:rPr>
      </w:pPr>
      <w:proofErr w:type="gramStart"/>
      <w:r>
        <w:rPr>
          <w:rFonts w:ascii="Arial" w:hAnsi="Arial" w:cs="Arial"/>
          <w:sz w:val="22"/>
          <w:szCs w:val="24"/>
        </w:rPr>
        <w:t xml:space="preserve">Figures 4 </w:t>
      </w:r>
      <w:r w:rsidR="00190112">
        <w:rPr>
          <w:rFonts w:ascii="Arial" w:hAnsi="Arial" w:cs="Arial"/>
          <w:sz w:val="22"/>
          <w:szCs w:val="24"/>
        </w:rPr>
        <w:t>summarizes</w:t>
      </w:r>
      <w:proofErr w:type="gramEnd"/>
      <w:r w:rsidR="00190112">
        <w:rPr>
          <w:rFonts w:ascii="Arial" w:hAnsi="Arial" w:cs="Arial"/>
          <w:sz w:val="22"/>
          <w:szCs w:val="24"/>
        </w:rPr>
        <w:t xml:space="preserve"> measurements </w:t>
      </w:r>
      <w:r>
        <w:rPr>
          <w:rFonts w:ascii="Arial" w:hAnsi="Arial" w:cs="Arial"/>
          <w:sz w:val="22"/>
          <w:szCs w:val="24"/>
        </w:rPr>
        <w:t xml:space="preserve">of soil C and N stocks across </w:t>
      </w:r>
      <w:r w:rsidR="00190112">
        <w:rPr>
          <w:rFonts w:ascii="Arial" w:hAnsi="Arial" w:cs="Arial"/>
          <w:sz w:val="22"/>
          <w:szCs w:val="24"/>
        </w:rPr>
        <w:t>all 24</w:t>
      </w:r>
      <w:r w:rsidR="00FD2121">
        <w:rPr>
          <w:rFonts w:ascii="Arial" w:hAnsi="Arial" w:cs="Arial"/>
          <w:sz w:val="22"/>
          <w:szCs w:val="24"/>
        </w:rPr>
        <w:t xml:space="preserve"> plots</w:t>
      </w:r>
      <w:r>
        <w:rPr>
          <w:rFonts w:ascii="Arial" w:hAnsi="Arial" w:cs="Arial"/>
          <w:sz w:val="22"/>
          <w:szCs w:val="24"/>
        </w:rPr>
        <w:t xml:space="preserve">.  This pre-treatment data is essential to discerning changes in soil C and N stocks in response to fertilization.  </w:t>
      </w:r>
      <w:r w:rsidR="002D3766">
        <w:rPr>
          <w:rFonts w:ascii="Arial" w:hAnsi="Arial" w:cs="Arial"/>
          <w:sz w:val="22"/>
          <w:szCs w:val="24"/>
        </w:rPr>
        <w:t xml:space="preserve">Preliminary assessment indicates that pre-treatment soils contained on average 142 </w:t>
      </w:r>
      <w:proofErr w:type="spellStart"/>
      <w:r w:rsidR="002D3766">
        <w:rPr>
          <w:rFonts w:ascii="Arial" w:hAnsi="Arial" w:cs="Arial"/>
          <w:sz w:val="22"/>
          <w:szCs w:val="24"/>
        </w:rPr>
        <w:t>tC</w:t>
      </w:r>
      <w:proofErr w:type="spellEnd"/>
      <w:r w:rsidR="002D3766">
        <w:rPr>
          <w:rFonts w:ascii="Arial" w:hAnsi="Arial" w:cs="Arial"/>
          <w:sz w:val="22"/>
          <w:szCs w:val="24"/>
        </w:rPr>
        <w:t xml:space="preserve">/ha to 50 cm depth, a value </w:t>
      </w:r>
      <w:r w:rsidR="00190112">
        <w:rPr>
          <w:rFonts w:ascii="Arial" w:hAnsi="Arial" w:cs="Arial"/>
          <w:sz w:val="22"/>
          <w:szCs w:val="24"/>
        </w:rPr>
        <w:t>broadly</w:t>
      </w:r>
      <w:r w:rsidR="002D3766">
        <w:rPr>
          <w:rFonts w:ascii="Arial" w:hAnsi="Arial" w:cs="Arial"/>
          <w:sz w:val="22"/>
          <w:szCs w:val="24"/>
        </w:rPr>
        <w:t xml:space="preserve"> similar to </w:t>
      </w:r>
      <w:r w:rsidR="00190112">
        <w:rPr>
          <w:rFonts w:ascii="Arial" w:hAnsi="Arial" w:cs="Arial"/>
          <w:sz w:val="22"/>
          <w:szCs w:val="24"/>
        </w:rPr>
        <w:t>measurements</w:t>
      </w:r>
      <w:r w:rsidR="002D3766">
        <w:rPr>
          <w:rFonts w:ascii="Arial" w:hAnsi="Arial" w:cs="Arial"/>
          <w:sz w:val="22"/>
          <w:szCs w:val="24"/>
        </w:rPr>
        <w:t xml:space="preserve"> of whole-profile soil C stocks </w:t>
      </w:r>
      <w:r w:rsidR="00190112">
        <w:rPr>
          <w:rFonts w:ascii="Arial" w:hAnsi="Arial" w:cs="Arial"/>
          <w:sz w:val="22"/>
          <w:szCs w:val="24"/>
        </w:rPr>
        <w:t xml:space="preserve">(160 </w:t>
      </w:r>
      <w:proofErr w:type="spellStart"/>
      <w:r w:rsidR="00190112">
        <w:rPr>
          <w:rFonts w:ascii="Arial" w:hAnsi="Arial" w:cs="Arial"/>
          <w:sz w:val="22"/>
          <w:szCs w:val="24"/>
        </w:rPr>
        <w:t>tC</w:t>
      </w:r>
      <w:proofErr w:type="spellEnd"/>
      <w:r w:rsidR="00190112">
        <w:rPr>
          <w:rFonts w:ascii="Arial" w:hAnsi="Arial" w:cs="Arial"/>
          <w:sz w:val="22"/>
          <w:szCs w:val="24"/>
        </w:rPr>
        <w:t xml:space="preserve">/ha) </w:t>
      </w:r>
      <w:r w:rsidR="002D3766">
        <w:rPr>
          <w:rFonts w:ascii="Arial" w:hAnsi="Arial" w:cs="Arial"/>
          <w:sz w:val="22"/>
          <w:szCs w:val="24"/>
        </w:rPr>
        <w:t xml:space="preserve">at watershed 5 at Hubbard Brook </w:t>
      </w:r>
      <w:r w:rsidR="00190112">
        <w:rPr>
          <w:rFonts w:ascii="Arial" w:hAnsi="Arial" w:cs="Arial"/>
          <w:sz w:val="22"/>
          <w:szCs w:val="24"/>
        </w:rPr>
        <w:t xml:space="preserve">prior to its </w:t>
      </w:r>
      <w:proofErr w:type="spellStart"/>
      <w:r w:rsidR="00190112">
        <w:rPr>
          <w:rFonts w:ascii="Arial" w:hAnsi="Arial" w:cs="Arial"/>
          <w:sz w:val="22"/>
          <w:szCs w:val="24"/>
        </w:rPr>
        <w:t>clearcutting</w:t>
      </w:r>
      <w:proofErr w:type="spellEnd"/>
      <w:r w:rsidR="00190112">
        <w:rPr>
          <w:rFonts w:ascii="Arial" w:hAnsi="Arial" w:cs="Arial"/>
          <w:sz w:val="22"/>
          <w:szCs w:val="24"/>
        </w:rPr>
        <w:t xml:space="preserve">, </w:t>
      </w:r>
      <w:r w:rsidR="002D3766">
        <w:rPr>
          <w:rFonts w:ascii="Arial" w:hAnsi="Arial" w:cs="Arial"/>
          <w:sz w:val="22"/>
          <w:szCs w:val="24"/>
        </w:rPr>
        <w:t>estimated through &gt; 60 quantitative pits (Johnson 1995</w:t>
      </w:r>
      <w:r w:rsidR="00FD2121">
        <w:rPr>
          <w:rFonts w:ascii="Arial" w:hAnsi="Arial" w:cs="Arial"/>
          <w:sz w:val="22"/>
          <w:szCs w:val="24"/>
        </w:rPr>
        <w:t xml:space="preserve">; </w:t>
      </w:r>
      <w:r w:rsidR="00FD2121" w:rsidRPr="00FD2121">
        <w:rPr>
          <w:rFonts w:ascii="Arial" w:hAnsi="Arial" w:cs="Arial"/>
          <w:i/>
          <w:sz w:val="22"/>
          <w:szCs w:val="24"/>
        </w:rPr>
        <w:t>CJFR</w:t>
      </w:r>
      <w:r w:rsidR="002D3766">
        <w:rPr>
          <w:rFonts w:ascii="Arial" w:hAnsi="Arial" w:cs="Arial"/>
          <w:sz w:val="22"/>
          <w:szCs w:val="24"/>
        </w:rPr>
        <w:t>)</w:t>
      </w:r>
      <w:r w:rsidR="00190112">
        <w:rPr>
          <w:rFonts w:ascii="Arial" w:hAnsi="Arial" w:cs="Arial"/>
          <w:sz w:val="22"/>
          <w:szCs w:val="24"/>
        </w:rPr>
        <w:t>.  S</w:t>
      </w:r>
      <w:r w:rsidR="002D3766">
        <w:rPr>
          <w:rFonts w:ascii="Arial" w:hAnsi="Arial" w:cs="Arial"/>
          <w:sz w:val="22"/>
          <w:szCs w:val="24"/>
        </w:rPr>
        <w:t xml:space="preserve">oil C stocks varied </w:t>
      </w:r>
      <w:r w:rsidR="008571C4">
        <w:rPr>
          <w:rFonts w:ascii="Arial" w:hAnsi="Arial" w:cs="Arial"/>
          <w:sz w:val="22"/>
          <w:szCs w:val="24"/>
        </w:rPr>
        <w:t xml:space="preserve">markedly </w:t>
      </w:r>
      <w:r w:rsidR="002D3766">
        <w:rPr>
          <w:rFonts w:ascii="Arial" w:hAnsi="Arial" w:cs="Arial"/>
          <w:sz w:val="22"/>
          <w:szCs w:val="24"/>
        </w:rPr>
        <w:t xml:space="preserve">from </w:t>
      </w:r>
      <w:r w:rsidR="00190112">
        <w:rPr>
          <w:rFonts w:ascii="Arial" w:hAnsi="Arial" w:cs="Arial"/>
          <w:sz w:val="22"/>
          <w:szCs w:val="24"/>
        </w:rPr>
        <w:t xml:space="preserve">site to site, ranging from </w:t>
      </w:r>
      <w:r w:rsidR="002D3766">
        <w:rPr>
          <w:rFonts w:ascii="Arial" w:hAnsi="Arial" w:cs="Arial"/>
          <w:sz w:val="22"/>
          <w:szCs w:val="24"/>
        </w:rPr>
        <w:t xml:space="preserve">109 </w:t>
      </w:r>
      <w:proofErr w:type="spellStart"/>
      <w:proofErr w:type="gramStart"/>
      <w:r w:rsidR="002D3766">
        <w:rPr>
          <w:rFonts w:ascii="Arial" w:hAnsi="Arial" w:cs="Arial"/>
          <w:sz w:val="22"/>
          <w:szCs w:val="24"/>
        </w:rPr>
        <w:t>tC</w:t>
      </w:r>
      <w:proofErr w:type="spellEnd"/>
      <w:r w:rsidR="002D3766">
        <w:rPr>
          <w:rFonts w:ascii="Arial" w:hAnsi="Arial" w:cs="Arial"/>
          <w:sz w:val="22"/>
          <w:szCs w:val="24"/>
        </w:rPr>
        <w:t>/</w:t>
      </w:r>
      <w:proofErr w:type="gramEnd"/>
      <w:r w:rsidR="002D3766">
        <w:rPr>
          <w:rFonts w:ascii="Arial" w:hAnsi="Arial" w:cs="Arial"/>
          <w:sz w:val="22"/>
          <w:szCs w:val="24"/>
        </w:rPr>
        <w:t xml:space="preserve">ha at Bartlett stand C7 to 194 </w:t>
      </w:r>
      <w:proofErr w:type="spellStart"/>
      <w:r w:rsidR="002D3766">
        <w:rPr>
          <w:rFonts w:ascii="Arial" w:hAnsi="Arial" w:cs="Arial"/>
          <w:sz w:val="22"/>
          <w:szCs w:val="24"/>
        </w:rPr>
        <w:t>tC</w:t>
      </w:r>
      <w:proofErr w:type="spellEnd"/>
      <w:r w:rsidR="002D3766">
        <w:rPr>
          <w:rFonts w:ascii="Arial" w:hAnsi="Arial" w:cs="Arial"/>
          <w:sz w:val="22"/>
          <w:szCs w:val="24"/>
        </w:rPr>
        <w:t xml:space="preserve">/ha, </w:t>
      </w:r>
      <w:r w:rsidR="00190112">
        <w:rPr>
          <w:rFonts w:ascii="Arial" w:hAnsi="Arial" w:cs="Arial"/>
          <w:sz w:val="22"/>
          <w:szCs w:val="24"/>
        </w:rPr>
        <w:t xml:space="preserve">or </w:t>
      </w:r>
      <w:r w:rsidR="002D3766">
        <w:rPr>
          <w:rFonts w:ascii="Arial" w:hAnsi="Arial" w:cs="Arial"/>
          <w:sz w:val="22"/>
          <w:szCs w:val="24"/>
        </w:rPr>
        <w:t xml:space="preserve">nearly twice as much C, at the Old Hubbard Brook </w:t>
      </w:r>
      <w:r w:rsidR="008571C4">
        <w:rPr>
          <w:rFonts w:ascii="Arial" w:hAnsi="Arial" w:cs="Arial"/>
          <w:sz w:val="22"/>
          <w:szCs w:val="24"/>
        </w:rPr>
        <w:t>stand</w:t>
      </w:r>
      <w:r w:rsidR="002D3766">
        <w:rPr>
          <w:rFonts w:ascii="Arial" w:hAnsi="Arial" w:cs="Arial"/>
          <w:sz w:val="22"/>
          <w:szCs w:val="24"/>
        </w:rPr>
        <w:t xml:space="preserve"> (Figure 4).  </w:t>
      </w:r>
      <w:r w:rsidR="00190112">
        <w:rPr>
          <w:rFonts w:ascii="Arial" w:hAnsi="Arial" w:cs="Arial"/>
          <w:sz w:val="22"/>
          <w:szCs w:val="24"/>
        </w:rPr>
        <w:t xml:space="preserve">Nitrogen stocks in pre-treatment soils averaged 7.0 </w:t>
      </w:r>
      <w:proofErr w:type="spellStart"/>
      <w:proofErr w:type="gramStart"/>
      <w:r w:rsidR="00190112">
        <w:rPr>
          <w:rFonts w:ascii="Arial" w:hAnsi="Arial" w:cs="Arial"/>
          <w:sz w:val="22"/>
          <w:szCs w:val="24"/>
        </w:rPr>
        <w:t>tN</w:t>
      </w:r>
      <w:proofErr w:type="spellEnd"/>
      <w:r w:rsidR="00190112">
        <w:rPr>
          <w:rFonts w:ascii="Arial" w:hAnsi="Arial" w:cs="Arial"/>
          <w:sz w:val="22"/>
          <w:szCs w:val="24"/>
        </w:rPr>
        <w:t>/</w:t>
      </w:r>
      <w:proofErr w:type="gramEnd"/>
      <w:r w:rsidR="00190112">
        <w:rPr>
          <w:rFonts w:ascii="Arial" w:hAnsi="Arial" w:cs="Arial"/>
          <w:sz w:val="22"/>
          <w:szCs w:val="24"/>
        </w:rPr>
        <w:t xml:space="preserve">ha, again similar to N stocks of 7.2 </w:t>
      </w:r>
      <w:proofErr w:type="spellStart"/>
      <w:r w:rsidR="00190112">
        <w:rPr>
          <w:rFonts w:ascii="Arial" w:hAnsi="Arial" w:cs="Arial"/>
          <w:sz w:val="22"/>
          <w:szCs w:val="24"/>
        </w:rPr>
        <w:t>tN</w:t>
      </w:r>
      <w:proofErr w:type="spellEnd"/>
      <w:r w:rsidR="00190112">
        <w:rPr>
          <w:rFonts w:ascii="Arial" w:hAnsi="Arial" w:cs="Arial"/>
          <w:sz w:val="22"/>
          <w:szCs w:val="24"/>
        </w:rPr>
        <w:t xml:space="preserve">/ha measured at </w:t>
      </w:r>
      <w:r w:rsidR="008571C4">
        <w:rPr>
          <w:rFonts w:ascii="Arial" w:hAnsi="Arial" w:cs="Arial"/>
          <w:sz w:val="22"/>
          <w:szCs w:val="24"/>
        </w:rPr>
        <w:t xml:space="preserve">Hubbard Brook </w:t>
      </w:r>
      <w:r w:rsidR="00190112">
        <w:rPr>
          <w:rFonts w:ascii="Arial" w:hAnsi="Arial" w:cs="Arial"/>
          <w:sz w:val="22"/>
          <w:szCs w:val="24"/>
        </w:rPr>
        <w:t xml:space="preserve">W5 by Johnson (1995). Both of the Bartlett sites, C5 and C7, contained smaller N stocks (4.2 to 6.7 </w:t>
      </w:r>
      <w:proofErr w:type="spellStart"/>
      <w:proofErr w:type="gramStart"/>
      <w:r w:rsidR="00190112">
        <w:rPr>
          <w:rFonts w:ascii="Arial" w:hAnsi="Arial" w:cs="Arial"/>
          <w:sz w:val="22"/>
          <w:szCs w:val="24"/>
        </w:rPr>
        <w:t>tN</w:t>
      </w:r>
      <w:proofErr w:type="spellEnd"/>
      <w:r w:rsidR="00190112">
        <w:rPr>
          <w:rFonts w:ascii="Arial" w:hAnsi="Arial" w:cs="Arial"/>
          <w:sz w:val="22"/>
          <w:szCs w:val="24"/>
        </w:rPr>
        <w:t>/</w:t>
      </w:r>
      <w:proofErr w:type="gramEnd"/>
      <w:r w:rsidR="00190112">
        <w:rPr>
          <w:rFonts w:ascii="Arial" w:hAnsi="Arial" w:cs="Arial"/>
          <w:sz w:val="22"/>
          <w:szCs w:val="24"/>
        </w:rPr>
        <w:t>ha) than the Jeffers Brook and Hubbard Brook sit</w:t>
      </w:r>
      <w:r w:rsidR="00C431E2">
        <w:rPr>
          <w:rFonts w:ascii="Arial" w:hAnsi="Arial" w:cs="Arial"/>
          <w:sz w:val="22"/>
          <w:szCs w:val="24"/>
        </w:rPr>
        <w:t>e</w:t>
      </w:r>
      <w:r w:rsidR="00190112">
        <w:rPr>
          <w:rFonts w:ascii="Arial" w:hAnsi="Arial" w:cs="Arial"/>
          <w:sz w:val="22"/>
          <w:szCs w:val="24"/>
        </w:rPr>
        <w:t xml:space="preserve">s </w:t>
      </w:r>
      <w:r w:rsidR="00C431E2">
        <w:rPr>
          <w:rFonts w:ascii="Arial" w:hAnsi="Arial" w:cs="Arial"/>
          <w:sz w:val="22"/>
          <w:szCs w:val="24"/>
        </w:rPr>
        <w:t xml:space="preserve">(7.0 to 10.8 </w:t>
      </w:r>
      <w:proofErr w:type="spellStart"/>
      <w:r w:rsidR="00C431E2">
        <w:rPr>
          <w:rFonts w:ascii="Arial" w:hAnsi="Arial" w:cs="Arial"/>
          <w:sz w:val="22"/>
          <w:szCs w:val="24"/>
        </w:rPr>
        <w:t>tN</w:t>
      </w:r>
      <w:proofErr w:type="spellEnd"/>
      <w:r w:rsidR="00C431E2">
        <w:rPr>
          <w:rFonts w:ascii="Arial" w:hAnsi="Arial" w:cs="Arial"/>
          <w:sz w:val="22"/>
          <w:szCs w:val="24"/>
        </w:rPr>
        <w:t xml:space="preserve">/ha).  In coming months, this pre-treatment C and N stock information will be finalized and combined with other root, soil, and plant information.  </w:t>
      </w:r>
    </w:p>
    <w:p w:rsidR="009C4CD5" w:rsidRDefault="009C4CD5" w:rsidP="009C4CD5">
      <w:pPr>
        <w:spacing w:line="480" w:lineRule="auto"/>
        <w:rPr>
          <w:rFonts w:ascii="Arial" w:hAnsi="Arial" w:cs="Arial"/>
          <w:sz w:val="22"/>
          <w:szCs w:val="24"/>
        </w:rPr>
      </w:pPr>
      <w:r w:rsidRPr="009C4CD5">
        <w:lastRenderedPageBreak/>
        <w:drawing>
          <wp:inline distT="0" distB="0" distL="0" distR="0" wp14:anchorId="024A537D" wp14:editId="78718613">
            <wp:extent cx="5943600" cy="368733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687335"/>
                    </a:xfrm>
                    <a:prstGeom prst="rect">
                      <a:avLst/>
                    </a:prstGeom>
                    <a:noFill/>
                    <a:ln>
                      <a:noFill/>
                    </a:ln>
                  </pic:spPr>
                </pic:pic>
              </a:graphicData>
            </a:graphic>
          </wp:inline>
        </w:drawing>
      </w:r>
    </w:p>
    <w:p w:rsidR="00DD2244" w:rsidRDefault="002D3766" w:rsidP="002D3766">
      <w:pPr>
        <w:spacing w:line="480" w:lineRule="auto"/>
        <w:rPr>
          <w:rFonts w:ascii="Arial" w:hAnsi="Arial" w:cs="Arial"/>
          <w:sz w:val="22"/>
          <w:szCs w:val="24"/>
        </w:rPr>
      </w:pPr>
      <w:r w:rsidRPr="002D3766">
        <w:drawing>
          <wp:inline distT="0" distB="0" distL="0" distR="0" wp14:anchorId="6723DE8B" wp14:editId="661D7B98">
            <wp:extent cx="5943600" cy="3687335"/>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687335"/>
                    </a:xfrm>
                    <a:prstGeom prst="rect">
                      <a:avLst/>
                    </a:prstGeom>
                    <a:noFill/>
                    <a:ln>
                      <a:noFill/>
                    </a:ln>
                  </pic:spPr>
                </pic:pic>
              </a:graphicData>
            </a:graphic>
          </wp:inline>
        </w:drawing>
      </w:r>
    </w:p>
    <w:p w:rsidR="0021216C" w:rsidRPr="008571C4" w:rsidRDefault="002D3766" w:rsidP="008571C4">
      <w:pPr>
        <w:spacing w:after="200" w:line="276" w:lineRule="auto"/>
        <w:rPr>
          <w:rFonts w:ascii="Calibri" w:eastAsia="Calibri" w:hAnsi="Calibri" w:cs="Times New Roman"/>
          <w:sz w:val="22"/>
        </w:rPr>
      </w:pPr>
      <w:proofErr w:type="gramStart"/>
      <w:r w:rsidRPr="00991454">
        <w:rPr>
          <w:rFonts w:ascii="Calibri" w:eastAsia="Calibri" w:hAnsi="Calibri" w:cs="Times New Roman"/>
          <w:sz w:val="22"/>
        </w:rPr>
        <w:t xml:space="preserve">Figure </w:t>
      </w:r>
      <w:r>
        <w:rPr>
          <w:rFonts w:ascii="Calibri" w:eastAsia="Calibri" w:hAnsi="Calibri" w:cs="Times New Roman"/>
          <w:sz w:val="22"/>
        </w:rPr>
        <w:t>4</w:t>
      </w:r>
      <w:r w:rsidRPr="00991454">
        <w:rPr>
          <w:rFonts w:ascii="Calibri" w:eastAsia="Calibri" w:hAnsi="Calibri" w:cs="Times New Roman"/>
          <w:sz w:val="22"/>
        </w:rPr>
        <w:t>.</w:t>
      </w:r>
      <w:proofErr w:type="gramEnd"/>
      <w:r w:rsidRPr="00991454">
        <w:rPr>
          <w:rFonts w:ascii="Calibri" w:eastAsia="Calibri" w:hAnsi="Calibri" w:cs="Times New Roman"/>
          <w:sz w:val="22"/>
        </w:rPr>
        <w:t xml:space="preserve">  Pre-treatment </w:t>
      </w:r>
      <w:r>
        <w:rPr>
          <w:rFonts w:ascii="Calibri" w:eastAsia="Calibri" w:hAnsi="Calibri" w:cs="Times New Roman"/>
          <w:sz w:val="22"/>
        </w:rPr>
        <w:t>mean (+ SD) soil C (top) and N (bottom) stocks for the six stands receiving N and P amendments.</w:t>
      </w:r>
      <w:r w:rsidRPr="00991454">
        <w:rPr>
          <w:rFonts w:ascii="Calibri" w:eastAsia="Calibri" w:hAnsi="Calibri" w:cs="Times New Roman"/>
          <w:sz w:val="22"/>
        </w:rPr>
        <w:t xml:space="preserve">  Values represent means </w:t>
      </w:r>
      <w:r>
        <w:rPr>
          <w:rFonts w:ascii="Calibri" w:eastAsia="Calibri" w:hAnsi="Calibri" w:cs="Times New Roman"/>
          <w:sz w:val="22"/>
        </w:rPr>
        <w:t>of</w:t>
      </w:r>
      <w:r w:rsidRPr="00991454">
        <w:rPr>
          <w:rFonts w:ascii="Calibri" w:eastAsia="Calibri" w:hAnsi="Calibri" w:cs="Times New Roman"/>
          <w:sz w:val="22"/>
        </w:rPr>
        <w:t xml:space="preserve"> five soil </w:t>
      </w:r>
      <w:r>
        <w:rPr>
          <w:rFonts w:ascii="Calibri" w:eastAsia="Calibri" w:hAnsi="Calibri" w:cs="Times New Roman"/>
          <w:sz w:val="22"/>
        </w:rPr>
        <w:t>core</w:t>
      </w:r>
      <w:bookmarkStart w:id="0" w:name="_GoBack"/>
      <w:bookmarkEnd w:id="0"/>
      <w:r>
        <w:rPr>
          <w:rFonts w:ascii="Calibri" w:eastAsia="Calibri" w:hAnsi="Calibri" w:cs="Times New Roman"/>
          <w:sz w:val="22"/>
        </w:rPr>
        <w:t>s</w:t>
      </w:r>
      <w:r w:rsidRPr="00991454">
        <w:rPr>
          <w:rFonts w:ascii="Calibri" w:eastAsia="Calibri" w:hAnsi="Calibri" w:cs="Times New Roman"/>
          <w:sz w:val="22"/>
        </w:rPr>
        <w:t xml:space="preserve"> per plot.</w:t>
      </w:r>
    </w:p>
    <w:sectPr w:rsidR="0021216C" w:rsidRPr="008571C4" w:rsidSect="0099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92"/>
    <w:rsid w:val="0001553A"/>
    <w:rsid w:val="00046B81"/>
    <w:rsid w:val="000D5EB3"/>
    <w:rsid w:val="00160C50"/>
    <w:rsid w:val="00173DEC"/>
    <w:rsid w:val="00190112"/>
    <w:rsid w:val="001A6B23"/>
    <w:rsid w:val="001B4AB9"/>
    <w:rsid w:val="001C7621"/>
    <w:rsid w:val="0021216C"/>
    <w:rsid w:val="002C0A32"/>
    <w:rsid w:val="002D3766"/>
    <w:rsid w:val="00372AD3"/>
    <w:rsid w:val="0037519A"/>
    <w:rsid w:val="003E47BB"/>
    <w:rsid w:val="00441AF7"/>
    <w:rsid w:val="004F0F00"/>
    <w:rsid w:val="005640DB"/>
    <w:rsid w:val="0060196E"/>
    <w:rsid w:val="006205B0"/>
    <w:rsid w:val="00755A9F"/>
    <w:rsid w:val="00761CBB"/>
    <w:rsid w:val="0077383E"/>
    <w:rsid w:val="007C35BA"/>
    <w:rsid w:val="007C36A3"/>
    <w:rsid w:val="007F2D77"/>
    <w:rsid w:val="008571C4"/>
    <w:rsid w:val="008725A7"/>
    <w:rsid w:val="0088110B"/>
    <w:rsid w:val="008D1EEE"/>
    <w:rsid w:val="008E1B39"/>
    <w:rsid w:val="0097175B"/>
    <w:rsid w:val="00991454"/>
    <w:rsid w:val="009C4CD5"/>
    <w:rsid w:val="009E02F2"/>
    <w:rsid w:val="00A40779"/>
    <w:rsid w:val="00A63C59"/>
    <w:rsid w:val="00AC6631"/>
    <w:rsid w:val="00AF12FC"/>
    <w:rsid w:val="00B14084"/>
    <w:rsid w:val="00B20441"/>
    <w:rsid w:val="00C269C9"/>
    <w:rsid w:val="00C431E2"/>
    <w:rsid w:val="00CF6E3F"/>
    <w:rsid w:val="00D52B1B"/>
    <w:rsid w:val="00D754D5"/>
    <w:rsid w:val="00D75D73"/>
    <w:rsid w:val="00DD0EB8"/>
    <w:rsid w:val="00DD2244"/>
    <w:rsid w:val="00DE457A"/>
    <w:rsid w:val="00E32148"/>
    <w:rsid w:val="00E60292"/>
    <w:rsid w:val="00EA35BA"/>
    <w:rsid w:val="00F25F9E"/>
    <w:rsid w:val="00F4382D"/>
    <w:rsid w:val="00FD2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46B81"/>
    <w:pPr>
      <w:framePr w:w="7920" w:h="1980" w:hRule="exact" w:hSpace="180" w:wrap="auto" w:hAnchor="page" w:xAlign="center" w:yAlign="bottom"/>
      <w:ind w:left="2880"/>
    </w:pPr>
    <w:rPr>
      <w:rFonts w:ascii="Arial" w:eastAsiaTheme="majorEastAsia" w:hAnsi="Arial" w:cstheme="majorBidi"/>
      <w:szCs w:val="24"/>
    </w:rPr>
  </w:style>
  <w:style w:type="character" w:styleId="Hyperlink">
    <w:name w:val="Hyperlink"/>
    <w:basedOn w:val="DefaultParagraphFont"/>
    <w:uiPriority w:val="99"/>
    <w:unhideWhenUsed/>
    <w:rsid w:val="001B4AB9"/>
    <w:rPr>
      <w:color w:val="0000FF" w:themeColor="hyperlink"/>
      <w:u w:val="single"/>
    </w:rPr>
  </w:style>
  <w:style w:type="paragraph" w:styleId="BalloonText">
    <w:name w:val="Balloon Text"/>
    <w:basedOn w:val="Normal"/>
    <w:link w:val="BalloonTextChar"/>
    <w:uiPriority w:val="99"/>
    <w:semiHidden/>
    <w:unhideWhenUsed/>
    <w:rsid w:val="00D75D73"/>
    <w:rPr>
      <w:rFonts w:ascii="Tahoma" w:hAnsi="Tahoma" w:cs="Tahoma"/>
      <w:sz w:val="16"/>
      <w:szCs w:val="16"/>
    </w:rPr>
  </w:style>
  <w:style w:type="character" w:customStyle="1" w:styleId="BalloonTextChar">
    <w:name w:val="Balloon Text Char"/>
    <w:basedOn w:val="DefaultParagraphFont"/>
    <w:link w:val="BalloonText"/>
    <w:uiPriority w:val="99"/>
    <w:semiHidden/>
    <w:rsid w:val="00D75D73"/>
    <w:rPr>
      <w:rFonts w:ascii="Tahoma" w:hAnsi="Tahoma" w:cs="Tahoma"/>
      <w:sz w:val="16"/>
      <w:szCs w:val="16"/>
    </w:rPr>
  </w:style>
  <w:style w:type="paragraph" w:styleId="NormalWeb">
    <w:name w:val="Normal (Web)"/>
    <w:basedOn w:val="Normal"/>
    <w:uiPriority w:val="99"/>
    <w:semiHidden/>
    <w:unhideWhenUsed/>
    <w:rsid w:val="00991454"/>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46B81"/>
    <w:pPr>
      <w:framePr w:w="7920" w:h="1980" w:hRule="exact" w:hSpace="180" w:wrap="auto" w:hAnchor="page" w:xAlign="center" w:yAlign="bottom"/>
      <w:ind w:left="2880"/>
    </w:pPr>
    <w:rPr>
      <w:rFonts w:ascii="Arial" w:eastAsiaTheme="majorEastAsia" w:hAnsi="Arial" w:cstheme="majorBidi"/>
      <w:szCs w:val="24"/>
    </w:rPr>
  </w:style>
  <w:style w:type="character" w:styleId="Hyperlink">
    <w:name w:val="Hyperlink"/>
    <w:basedOn w:val="DefaultParagraphFont"/>
    <w:uiPriority w:val="99"/>
    <w:unhideWhenUsed/>
    <w:rsid w:val="001B4AB9"/>
    <w:rPr>
      <w:color w:val="0000FF" w:themeColor="hyperlink"/>
      <w:u w:val="single"/>
    </w:rPr>
  </w:style>
  <w:style w:type="paragraph" w:styleId="BalloonText">
    <w:name w:val="Balloon Text"/>
    <w:basedOn w:val="Normal"/>
    <w:link w:val="BalloonTextChar"/>
    <w:uiPriority w:val="99"/>
    <w:semiHidden/>
    <w:unhideWhenUsed/>
    <w:rsid w:val="00D75D73"/>
    <w:rPr>
      <w:rFonts w:ascii="Tahoma" w:hAnsi="Tahoma" w:cs="Tahoma"/>
      <w:sz w:val="16"/>
      <w:szCs w:val="16"/>
    </w:rPr>
  </w:style>
  <w:style w:type="character" w:customStyle="1" w:styleId="BalloonTextChar">
    <w:name w:val="Balloon Text Char"/>
    <w:basedOn w:val="DefaultParagraphFont"/>
    <w:link w:val="BalloonText"/>
    <w:uiPriority w:val="99"/>
    <w:semiHidden/>
    <w:rsid w:val="00D75D73"/>
    <w:rPr>
      <w:rFonts w:ascii="Tahoma" w:hAnsi="Tahoma" w:cs="Tahoma"/>
      <w:sz w:val="16"/>
      <w:szCs w:val="16"/>
    </w:rPr>
  </w:style>
  <w:style w:type="paragraph" w:styleId="NormalWeb">
    <w:name w:val="Normal (Web)"/>
    <w:basedOn w:val="Normal"/>
    <w:uiPriority w:val="99"/>
    <w:semiHidden/>
    <w:unhideWhenUsed/>
    <w:rsid w:val="0099145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0166">
      <w:bodyDiv w:val="1"/>
      <w:marLeft w:val="0"/>
      <w:marRight w:val="0"/>
      <w:marTop w:val="0"/>
      <w:marBottom w:val="0"/>
      <w:divBdr>
        <w:top w:val="none" w:sz="0" w:space="0" w:color="auto"/>
        <w:left w:val="none" w:sz="0" w:space="0" w:color="auto"/>
        <w:bottom w:val="none" w:sz="0" w:space="0" w:color="auto"/>
        <w:right w:val="none" w:sz="0" w:space="0" w:color="auto"/>
      </w:divBdr>
    </w:div>
    <w:div w:id="1338970160">
      <w:bodyDiv w:val="1"/>
      <w:marLeft w:val="0"/>
      <w:marRight w:val="0"/>
      <w:marTop w:val="0"/>
      <w:marBottom w:val="0"/>
      <w:divBdr>
        <w:top w:val="none" w:sz="0" w:space="0" w:color="auto"/>
        <w:left w:val="none" w:sz="0" w:space="0" w:color="auto"/>
        <w:bottom w:val="none" w:sz="0" w:space="0" w:color="auto"/>
        <w:right w:val="none" w:sz="0" w:space="0" w:color="auto"/>
      </w:divBdr>
    </w:div>
    <w:div w:id="20462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CE85-5299-47E4-8153-4DD1CF39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Goodale</cp:lastModifiedBy>
  <cp:revision>5</cp:revision>
  <cp:lastPrinted>2011-05-04T14:57:00Z</cp:lastPrinted>
  <dcterms:created xsi:type="dcterms:W3CDTF">2012-06-29T23:31:00Z</dcterms:created>
  <dcterms:modified xsi:type="dcterms:W3CDTF">2012-06-29T23:39:00Z</dcterms:modified>
</cp:coreProperties>
</file>